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355" w:rsidRDefault="00334355" w:rsidP="00D62E87">
      <w:pPr>
        <w:spacing w:after="240" w:line="240" w:lineRule="auto"/>
        <w:jc w:val="center"/>
        <w:rPr>
          <w:rFonts w:ascii="Sylfaen" w:hAnsi="Sylfaen"/>
          <w:b/>
          <w:sz w:val="28"/>
          <w:lang w:val="ka-GE"/>
        </w:rPr>
      </w:pPr>
    </w:p>
    <w:p w:rsidR="00334355" w:rsidRDefault="00334355" w:rsidP="00334355">
      <w:pPr>
        <w:jc w:val="center"/>
      </w:pPr>
      <w:r w:rsidRPr="00B81330">
        <w:rPr>
          <w:noProof/>
          <w:lang w:val="ru-RU" w:eastAsia="ru-RU"/>
        </w:rPr>
        <w:drawing>
          <wp:inline distT="0" distB="0" distL="0" distR="0">
            <wp:extent cx="3657600" cy="3362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355" w:rsidRDefault="00334355" w:rsidP="00334355"/>
    <w:p w:rsidR="00334355" w:rsidRDefault="00334355" w:rsidP="00334355">
      <w:pPr>
        <w:rPr>
          <w:rFonts w:ascii="LitNusx" w:hAnsi="LitNusx"/>
          <w:b/>
          <w:bCs/>
          <w:sz w:val="40"/>
        </w:rPr>
      </w:pPr>
    </w:p>
    <w:p w:rsidR="00334355" w:rsidRDefault="00334355" w:rsidP="00334355">
      <w:pPr>
        <w:rPr>
          <w:rFonts w:ascii="LitNusx" w:hAnsi="LitNusx"/>
          <w:b/>
          <w:bCs/>
          <w:sz w:val="40"/>
        </w:rPr>
      </w:pPr>
    </w:p>
    <w:p w:rsidR="00334355" w:rsidRDefault="00334355" w:rsidP="00334355">
      <w:pPr>
        <w:rPr>
          <w:rFonts w:ascii="LitNusx" w:hAnsi="LitNusx"/>
          <w:b/>
          <w:bCs/>
          <w:sz w:val="40"/>
        </w:rPr>
      </w:pPr>
    </w:p>
    <w:p w:rsidR="00334355" w:rsidRDefault="00334355" w:rsidP="00334355">
      <w:pPr>
        <w:tabs>
          <w:tab w:val="left" w:pos="4980"/>
        </w:tabs>
        <w:jc w:val="center"/>
        <w:rPr>
          <w:rFonts w:ascii="AcadMtavr" w:hAnsi="AcadMtavr"/>
          <w:b/>
          <w:iCs/>
          <w:sz w:val="40"/>
          <w:szCs w:val="40"/>
          <w:lang w:val="pt-BR"/>
        </w:rPr>
      </w:pPr>
    </w:p>
    <w:p w:rsidR="00334355" w:rsidRDefault="00334355" w:rsidP="00334355">
      <w:pPr>
        <w:tabs>
          <w:tab w:val="left" w:pos="4980"/>
        </w:tabs>
        <w:jc w:val="center"/>
        <w:rPr>
          <w:rFonts w:ascii="AcadMtavr" w:hAnsi="AcadMtavr"/>
          <w:b/>
          <w:iCs/>
          <w:sz w:val="40"/>
          <w:szCs w:val="40"/>
          <w:lang w:val="pt-BR"/>
        </w:rPr>
      </w:pPr>
    </w:p>
    <w:p w:rsidR="00334355" w:rsidRPr="00334355" w:rsidRDefault="00334355" w:rsidP="00334355">
      <w:pPr>
        <w:jc w:val="center"/>
        <w:rPr>
          <w:rFonts w:ascii="Sylfaen" w:hAnsi="Sylfaen"/>
          <w:b/>
          <w:iCs/>
          <w:sz w:val="36"/>
          <w:szCs w:val="36"/>
          <w:lang w:val="ka-GE"/>
        </w:rPr>
      </w:pPr>
      <w:r>
        <w:rPr>
          <w:rFonts w:ascii="Sylfaen" w:hAnsi="Sylfaen"/>
          <w:b/>
          <w:iCs/>
          <w:sz w:val="36"/>
          <w:szCs w:val="36"/>
          <w:lang w:val="ka-GE"/>
        </w:rPr>
        <w:t>ინფორმაცია</w:t>
      </w:r>
      <w:r w:rsidRPr="00334355">
        <w:rPr>
          <w:rFonts w:ascii="Sylfaen" w:hAnsi="Sylfaen"/>
          <w:b/>
          <w:iCs/>
          <w:sz w:val="36"/>
          <w:szCs w:val="36"/>
          <w:lang w:val="ka-GE"/>
        </w:rPr>
        <w:t xml:space="preserve"> </w:t>
      </w:r>
      <w:r>
        <w:rPr>
          <w:rFonts w:ascii="Sylfaen" w:hAnsi="Sylfaen"/>
          <w:b/>
          <w:iCs/>
          <w:sz w:val="36"/>
          <w:szCs w:val="36"/>
          <w:lang w:val="ka-GE"/>
        </w:rPr>
        <w:t>მთავრობის</w:t>
      </w:r>
      <w:r w:rsidRPr="00334355">
        <w:rPr>
          <w:rFonts w:ascii="Sylfaen" w:hAnsi="Sylfaen"/>
          <w:b/>
          <w:iCs/>
          <w:sz w:val="36"/>
          <w:szCs w:val="36"/>
          <w:lang w:val="ka-GE"/>
        </w:rPr>
        <w:t xml:space="preserve"> </w:t>
      </w:r>
      <w:r>
        <w:rPr>
          <w:rFonts w:ascii="Sylfaen" w:hAnsi="Sylfaen"/>
          <w:b/>
          <w:iCs/>
          <w:sz w:val="36"/>
          <w:szCs w:val="36"/>
          <w:lang w:val="ka-GE"/>
        </w:rPr>
        <w:t>ვალის შესახებ</w:t>
      </w:r>
    </w:p>
    <w:p w:rsidR="00334355" w:rsidRPr="00084EBA" w:rsidRDefault="00334355" w:rsidP="00334355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334355" w:rsidRPr="00084EBA" w:rsidRDefault="00334355" w:rsidP="00334355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334355" w:rsidRPr="00084EBA" w:rsidRDefault="00334355" w:rsidP="00334355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334355" w:rsidRPr="00084EBA" w:rsidRDefault="00334355" w:rsidP="00334355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334355" w:rsidRPr="003E5C97" w:rsidRDefault="00334355" w:rsidP="00334355">
      <w:pPr>
        <w:tabs>
          <w:tab w:val="left" w:pos="4980"/>
        </w:tabs>
        <w:jc w:val="center"/>
        <w:rPr>
          <w:rFonts w:ascii="AcadMtavr" w:hAnsi="AcadMtavr"/>
          <w:b/>
          <w:bCs/>
          <w:sz w:val="26"/>
          <w:szCs w:val="26"/>
          <w:lang w:val="pt-BR"/>
        </w:rPr>
      </w:pPr>
      <w:r w:rsidRPr="003E5C97">
        <w:rPr>
          <w:rFonts w:ascii="AcadMtavr" w:hAnsi="AcadMtavr"/>
          <w:b/>
          <w:bCs/>
          <w:sz w:val="26"/>
          <w:szCs w:val="26"/>
          <w:lang w:val="pt-BR"/>
        </w:rPr>
        <w:t>Tbilisi</w:t>
      </w:r>
    </w:p>
    <w:p w:rsidR="00334355" w:rsidRPr="003E5C97" w:rsidRDefault="00334355" w:rsidP="00334355">
      <w:pPr>
        <w:tabs>
          <w:tab w:val="left" w:pos="4980"/>
        </w:tabs>
        <w:jc w:val="center"/>
        <w:rPr>
          <w:rFonts w:ascii="AcadMtavr" w:hAnsi="AcadMtavr"/>
          <w:b/>
          <w:bCs/>
          <w:sz w:val="26"/>
          <w:szCs w:val="26"/>
          <w:lang w:val="pt-BR"/>
        </w:rPr>
      </w:pPr>
    </w:p>
    <w:p w:rsidR="00334355" w:rsidRPr="003E5C97" w:rsidRDefault="00334355" w:rsidP="00334355">
      <w:pPr>
        <w:tabs>
          <w:tab w:val="left" w:pos="4980"/>
        </w:tabs>
        <w:jc w:val="center"/>
        <w:rPr>
          <w:rFonts w:ascii="AcadMtavr" w:hAnsi="AcadMtavr"/>
          <w:b/>
          <w:bCs/>
          <w:sz w:val="26"/>
          <w:szCs w:val="26"/>
          <w:lang w:val="pt-BR"/>
        </w:rPr>
      </w:pPr>
      <w:r w:rsidRPr="003E5C97">
        <w:rPr>
          <w:rFonts w:ascii="AcadMtavr" w:hAnsi="AcadMtavr"/>
          <w:b/>
          <w:bCs/>
          <w:sz w:val="26"/>
          <w:szCs w:val="26"/>
          <w:lang w:val="pt-BR"/>
        </w:rPr>
        <w:t>20</w:t>
      </w:r>
      <w:r>
        <w:rPr>
          <w:rFonts w:ascii="AcadMtavr" w:hAnsi="AcadMtavr"/>
          <w:b/>
          <w:bCs/>
          <w:sz w:val="26"/>
          <w:szCs w:val="26"/>
          <w:lang w:val="pt-BR"/>
        </w:rPr>
        <w:t>20</w:t>
      </w:r>
    </w:p>
    <w:p w:rsidR="00270120" w:rsidRPr="00B73E97" w:rsidRDefault="00784855" w:rsidP="00D62E87">
      <w:pPr>
        <w:spacing w:after="240" w:line="240" w:lineRule="auto"/>
        <w:jc w:val="center"/>
        <w:rPr>
          <w:rFonts w:ascii="Sylfaen" w:hAnsi="Sylfaen"/>
          <w:b/>
          <w:sz w:val="28"/>
          <w:lang w:val="ka-GE"/>
        </w:rPr>
      </w:pPr>
      <w:r w:rsidRPr="00B73E97">
        <w:rPr>
          <w:rFonts w:ascii="Sylfaen" w:hAnsi="Sylfaen"/>
          <w:b/>
          <w:sz w:val="28"/>
          <w:lang w:val="ka-GE"/>
        </w:rPr>
        <w:lastRenderedPageBreak/>
        <w:t>მთავრობის</w:t>
      </w:r>
      <w:r w:rsidR="005A44F5" w:rsidRPr="00B73E97">
        <w:rPr>
          <w:rFonts w:ascii="Sylfaen" w:hAnsi="Sylfaen"/>
          <w:b/>
          <w:sz w:val="28"/>
          <w:lang w:val="ka-GE"/>
        </w:rPr>
        <w:t xml:space="preserve"> ვალი</w:t>
      </w:r>
    </w:p>
    <w:p w:rsidR="009B63F3" w:rsidRPr="00B73E97" w:rsidRDefault="00CC46C4" w:rsidP="00D62E87">
      <w:pPr>
        <w:spacing w:line="240" w:lineRule="auto"/>
        <w:jc w:val="both"/>
        <w:rPr>
          <w:rFonts w:ascii="Sylfaen" w:hAnsi="Sylfaen"/>
          <w:szCs w:val="21"/>
          <w:shd w:val="clear" w:color="auto" w:fill="FFFFFF"/>
          <w:lang w:val="ka-GE"/>
        </w:rPr>
      </w:pPr>
      <w:r w:rsidRPr="00B73E97">
        <w:rPr>
          <w:rFonts w:ascii="Sylfaen" w:hAnsi="Sylfaen" w:cs="Sylfaen"/>
          <w:sz w:val="24"/>
          <w:szCs w:val="18"/>
          <w:shd w:val="clear" w:color="auto" w:fill="FFFFFF"/>
        </w:rPr>
        <w:tab/>
      </w:r>
      <w:r w:rsidR="000413CE" w:rsidRPr="00B73E97">
        <w:rPr>
          <w:rFonts w:ascii="Sylfaen" w:hAnsi="Sylfaen"/>
          <w:szCs w:val="21"/>
          <w:shd w:val="clear" w:color="auto" w:fill="FFFFFF"/>
          <w:lang w:val="ka-GE"/>
        </w:rPr>
        <w:t>„ეკონომიკური თავისუფლების შესახებ“ საქართველოს ორგანული კანონის შესაბამისად</w:t>
      </w:r>
      <w:r w:rsidR="000413CE" w:rsidRPr="00B73E97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მთავრობის </w:t>
      </w:r>
      <w:r w:rsidR="009B63F3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ვალის ნაშთი </w:t>
      </w:r>
      <w:r w:rsidR="00434625" w:rsidRPr="00B73E97">
        <w:rPr>
          <w:rFonts w:ascii="Sylfaen" w:hAnsi="Sylfaen" w:cs="Sylfaen"/>
          <w:szCs w:val="21"/>
          <w:shd w:val="clear" w:color="auto" w:fill="FFFFFF"/>
          <w:lang w:val="ka-GE"/>
        </w:rPr>
        <w:t>20</w:t>
      </w:r>
      <w:r w:rsidR="000A7B97" w:rsidRPr="00B73E97">
        <w:rPr>
          <w:rFonts w:ascii="Sylfaen" w:hAnsi="Sylfaen" w:cs="Sylfaen"/>
          <w:szCs w:val="21"/>
          <w:shd w:val="clear" w:color="auto" w:fill="FFFFFF"/>
          <w:lang w:val="ka-GE"/>
        </w:rPr>
        <w:t>20</w:t>
      </w:r>
      <w:r w:rsidR="00434625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წლის </w:t>
      </w:r>
      <w:r w:rsidR="007350CD" w:rsidRPr="00B73E97">
        <w:rPr>
          <w:rFonts w:ascii="Sylfaen" w:hAnsi="Sylfaen" w:cs="Sylfaen"/>
          <w:szCs w:val="21"/>
          <w:shd w:val="clear" w:color="auto" w:fill="FFFFFF"/>
        </w:rPr>
        <w:t>31</w:t>
      </w:r>
      <w:r w:rsidR="00EB0EE9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3B159D">
        <w:rPr>
          <w:rFonts w:ascii="Sylfaen" w:hAnsi="Sylfaen" w:cs="Sylfaen"/>
          <w:szCs w:val="21"/>
          <w:shd w:val="clear" w:color="auto" w:fill="FFFFFF"/>
          <w:lang w:val="ka-GE"/>
        </w:rPr>
        <w:t>ოქტომბრის</w:t>
      </w:r>
      <w:r w:rsidR="00434625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მდგომარეობით შეადგენს </w:t>
      </w:r>
      <w:r w:rsidR="003B159D" w:rsidRPr="00421440">
        <w:rPr>
          <w:rFonts w:ascii="Sylfaen" w:hAnsi="Sylfaen" w:cs="Sylfaen"/>
          <w:szCs w:val="21"/>
          <w:shd w:val="clear" w:color="auto" w:fill="FFFFFF"/>
          <w:lang w:val="ka-GE"/>
        </w:rPr>
        <w:t>27</w:t>
      </w:r>
      <w:r w:rsidR="008739E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3B159D" w:rsidRPr="00421440">
        <w:rPr>
          <w:rFonts w:ascii="Sylfaen" w:hAnsi="Sylfaen" w:cs="Sylfaen"/>
          <w:szCs w:val="21"/>
          <w:shd w:val="clear" w:color="auto" w:fill="FFFFFF"/>
          <w:lang w:val="ka-GE"/>
        </w:rPr>
        <w:t>704</w:t>
      </w:r>
      <w:r w:rsidR="00421440" w:rsidRPr="0042144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3B159D" w:rsidRPr="00421440">
        <w:rPr>
          <w:rFonts w:ascii="Sylfaen" w:hAnsi="Sylfaen" w:cs="Sylfaen"/>
          <w:szCs w:val="21"/>
          <w:shd w:val="clear" w:color="auto" w:fill="FFFFFF"/>
          <w:lang w:val="ka-GE"/>
        </w:rPr>
        <w:t>1</w:t>
      </w:r>
      <w:r w:rsidR="00311D8A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B73E97">
        <w:rPr>
          <w:rFonts w:ascii="Sylfaen" w:hAnsi="Sylfaen" w:cs="Sylfaen"/>
          <w:szCs w:val="21"/>
          <w:shd w:val="clear" w:color="auto" w:fill="FFFFFF"/>
          <w:lang w:val="ka-GE"/>
        </w:rPr>
        <w:t>მლნ ლარს</w:t>
      </w:r>
      <w:r w:rsidR="0087661E" w:rsidRPr="00B73E97">
        <w:rPr>
          <w:rFonts w:ascii="Sylfaen" w:hAnsi="Sylfaen" w:cs="Sylfaen"/>
          <w:szCs w:val="21"/>
          <w:shd w:val="clear" w:color="auto" w:fill="FFFFFF"/>
        </w:rPr>
        <w:t>,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396821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მათ შორის „სახელმწიფო ვალის შესახებ“ საქართველოს კანონით გათვალისწინებულ სახელმწიფო ვალი, გარდა საქართველოს ეროვნული ბანკის მიერ აღებული ვალდებულებებისა - </w:t>
      </w:r>
      <w:r w:rsidR="00EF0590">
        <w:rPr>
          <w:rFonts w:ascii="Sylfaen" w:hAnsi="Sylfaen"/>
          <w:szCs w:val="21"/>
          <w:shd w:val="clear" w:color="auto" w:fill="FFFFFF"/>
        </w:rPr>
        <w:t>27</w:t>
      </w:r>
      <w:r w:rsidR="008739E5">
        <w:rPr>
          <w:rFonts w:ascii="Sylfaen" w:hAnsi="Sylfaen"/>
          <w:szCs w:val="21"/>
          <w:shd w:val="clear" w:color="auto" w:fill="FFFFFF"/>
        </w:rPr>
        <w:t xml:space="preserve"> </w:t>
      </w:r>
      <w:r w:rsidR="00EF0590">
        <w:rPr>
          <w:rFonts w:ascii="Sylfaen" w:hAnsi="Sylfaen"/>
          <w:szCs w:val="21"/>
          <w:shd w:val="clear" w:color="auto" w:fill="FFFFFF"/>
        </w:rPr>
        <w:t>688.3</w:t>
      </w:r>
      <w:r w:rsidR="00396821" w:rsidRPr="00B73E97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</w:t>
      </w:r>
      <w:r w:rsidR="00396821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396821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და </w:t>
      </w:r>
      <w:r w:rsidR="0087661E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საბიუჯეტო ორგანიზაციების სესხის სახით </w:t>
      </w:r>
      <w:r w:rsidR="00914D8C" w:rsidRPr="00B73E97">
        <w:rPr>
          <w:rFonts w:ascii="Sylfaen" w:hAnsi="Sylfaen"/>
          <w:szCs w:val="21"/>
          <w:shd w:val="clear" w:color="auto" w:fill="FFFFFF"/>
          <w:lang w:val="ka-GE"/>
        </w:rPr>
        <w:t>არსებულ</w:t>
      </w:r>
      <w:r w:rsidR="0087661E" w:rsidRPr="00B73E97">
        <w:rPr>
          <w:rFonts w:ascii="Sylfaen" w:hAnsi="Sylfaen"/>
          <w:szCs w:val="21"/>
          <w:shd w:val="clear" w:color="auto" w:fill="FFFFFF"/>
          <w:lang w:val="ka-GE"/>
        </w:rPr>
        <w:t xml:space="preserve"> ნაშთ</w:t>
      </w:r>
      <w:r w:rsidR="00914D8C" w:rsidRPr="00B73E97">
        <w:rPr>
          <w:rFonts w:ascii="Sylfaen" w:hAnsi="Sylfaen"/>
          <w:szCs w:val="21"/>
          <w:shd w:val="clear" w:color="auto" w:fill="FFFFFF"/>
          <w:lang w:val="ka-GE"/>
        </w:rPr>
        <w:t>ს</w:t>
      </w:r>
      <w:r w:rsidR="0087661E" w:rsidRPr="00B73E9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421440">
        <w:rPr>
          <w:rFonts w:ascii="Sylfaen" w:hAnsi="Sylfaen"/>
          <w:szCs w:val="21"/>
          <w:shd w:val="clear" w:color="auto" w:fill="FFFFFF"/>
          <w:lang w:val="ka-GE"/>
        </w:rPr>
        <w:t>-15.8</w:t>
      </w:r>
      <w:r w:rsidR="00914D8C" w:rsidRPr="00B73E97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ლარს.</w:t>
      </w:r>
    </w:p>
    <w:p w:rsidR="006F4202" w:rsidRPr="00B73E97" w:rsidRDefault="00FB01F8" w:rsidP="00D62E87">
      <w:pPr>
        <w:spacing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B73E97">
        <w:rPr>
          <w:rFonts w:ascii="Sylfaen" w:hAnsi="Sylfaen"/>
          <w:szCs w:val="21"/>
          <w:shd w:val="clear" w:color="auto" w:fill="FFFFFF"/>
          <w:lang w:val="ka-GE"/>
        </w:rPr>
        <w:t xml:space="preserve">ამასთან, </w:t>
      </w:r>
      <w:r w:rsidR="00DB657D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მთავრობის </w:t>
      </w:r>
      <w:r w:rsidR="009B63F3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საგარეო ვალის ნაშთი, </w:t>
      </w:r>
      <w:r w:rsidR="00421440">
        <w:rPr>
          <w:rFonts w:ascii="Sylfaen" w:hAnsi="Sylfaen"/>
          <w:szCs w:val="21"/>
          <w:shd w:val="clear" w:color="auto" w:fill="FFFFFF"/>
          <w:lang w:val="ka-GE"/>
        </w:rPr>
        <w:t>21</w:t>
      </w:r>
      <w:r w:rsidR="008739E5">
        <w:rPr>
          <w:rFonts w:ascii="Sylfaen" w:hAnsi="Sylfaen"/>
          <w:szCs w:val="21"/>
          <w:shd w:val="clear" w:color="auto" w:fill="FFFFFF"/>
        </w:rPr>
        <w:t xml:space="preserve"> </w:t>
      </w:r>
      <w:r w:rsidR="00421440">
        <w:rPr>
          <w:rFonts w:ascii="Sylfaen" w:hAnsi="Sylfaen"/>
          <w:szCs w:val="21"/>
          <w:shd w:val="clear" w:color="auto" w:fill="FFFFFF"/>
          <w:lang w:val="ka-GE"/>
        </w:rPr>
        <w:t xml:space="preserve">781.1 </w:t>
      </w:r>
      <w:r w:rsidR="0087661E" w:rsidRPr="00B73E97">
        <w:rPr>
          <w:rFonts w:ascii="Sylfaen" w:hAnsi="Sylfaen"/>
          <w:szCs w:val="21"/>
          <w:shd w:val="clear" w:color="auto" w:fill="FFFFFF"/>
          <w:lang w:val="ka-GE"/>
        </w:rPr>
        <w:t>მლნ</w:t>
      </w:r>
      <w:r w:rsidR="009B63F3" w:rsidRPr="00B73E97">
        <w:rPr>
          <w:rFonts w:ascii="Sylfaen" w:hAnsi="Sylfaen"/>
          <w:szCs w:val="21"/>
          <w:shd w:val="clear" w:color="auto" w:fill="FFFFFF"/>
          <w:lang w:val="ka-GE"/>
        </w:rPr>
        <w:t xml:space="preserve"> ლარი,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მთლიანი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7B4007" w:rsidRPr="00B73E97">
        <w:rPr>
          <w:rFonts w:ascii="Sylfaen" w:hAnsi="Sylfaen"/>
          <w:szCs w:val="21"/>
          <w:shd w:val="clear" w:color="auto" w:fill="FFFFFF"/>
          <w:lang w:val="ka-GE"/>
        </w:rPr>
        <w:t>7</w:t>
      </w:r>
      <w:r w:rsidR="00421440">
        <w:rPr>
          <w:rFonts w:ascii="Sylfaen" w:hAnsi="Sylfaen"/>
          <w:szCs w:val="21"/>
          <w:shd w:val="clear" w:color="auto" w:fill="FFFFFF"/>
          <w:lang w:val="ka-GE"/>
        </w:rPr>
        <w:t>9</w:t>
      </w:r>
      <w:r w:rsidR="006F4202" w:rsidRPr="00B73E97">
        <w:rPr>
          <w:rFonts w:ascii="Sylfaen" w:hAnsi="Sylfaen"/>
          <w:szCs w:val="21"/>
          <w:shd w:val="clear" w:color="auto" w:fill="FFFFFF"/>
        </w:rPr>
        <w:t>%-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>ია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. 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>აღნიშნული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საკრედიტო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რესურსის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დიდი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ნაწილი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მიღებულია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მრავალმხრივი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ორმხრივი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დონორებისგან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>/პარტნიორებისგან ქვეყნისათვის პრიორიტეტული ინფრასტრუქტურული პროექტების დასაფინანსებლად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.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ვალი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>ს პორტფელი შეღავათიანია და ძირითადად შედგება გრძელვადიანი სესხებისგან -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პორტფელის </w:t>
      </w:r>
      <w:r w:rsidR="00071A4F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საშუალო შეწონილი </w:t>
      </w:r>
      <w:proofErr w:type="spellStart"/>
      <w:r w:rsidR="006F4202" w:rsidRPr="00B73E97">
        <w:rPr>
          <w:rFonts w:ascii="Sylfaen" w:hAnsi="Sylfaen"/>
          <w:szCs w:val="21"/>
          <w:shd w:val="clear" w:color="auto" w:fill="FFFFFF"/>
        </w:rPr>
        <w:t>საკონტრაქტო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/>
          <w:szCs w:val="21"/>
          <w:shd w:val="clear" w:color="auto" w:fill="FFFFFF"/>
        </w:rPr>
        <w:t>ვადიანობა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/>
          <w:szCs w:val="21"/>
          <w:shd w:val="clear" w:color="auto" w:fill="FFFFFF"/>
        </w:rPr>
        <w:t>შეადგენს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2A3C73" w:rsidRPr="00B73E97">
        <w:rPr>
          <w:rFonts w:ascii="Sylfaen" w:hAnsi="Sylfaen"/>
          <w:szCs w:val="21"/>
          <w:shd w:val="clear" w:color="auto" w:fill="FFFFFF"/>
          <w:lang w:val="ka-GE"/>
        </w:rPr>
        <w:t>2</w:t>
      </w:r>
      <w:r w:rsidR="000A7B97" w:rsidRPr="00B73E97">
        <w:rPr>
          <w:rFonts w:ascii="Sylfaen" w:hAnsi="Sylfaen"/>
          <w:szCs w:val="21"/>
          <w:shd w:val="clear" w:color="auto" w:fill="FFFFFF"/>
          <w:lang w:val="ka-GE"/>
        </w:rPr>
        <w:t>1</w:t>
      </w:r>
      <w:r w:rsidR="002A3C73" w:rsidRPr="00B73E97">
        <w:rPr>
          <w:rFonts w:ascii="Sylfaen" w:hAnsi="Sylfaen"/>
          <w:szCs w:val="21"/>
          <w:shd w:val="clear" w:color="auto" w:fill="FFFFFF"/>
          <w:lang w:val="ka-GE"/>
        </w:rPr>
        <w:t>.</w:t>
      </w:r>
      <w:r w:rsidR="00421440">
        <w:rPr>
          <w:rFonts w:ascii="Sylfaen" w:hAnsi="Sylfaen"/>
          <w:szCs w:val="21"/>
          <w:shd w:val="clear" w:color="auto" w:fill="FFFFFF"/>
          <w:lang w:val="ka-GE"/>
        </w:rPr>
        <w:t>0</w:t>
      </w:r>
      <w:r w:rsidR="00C126E1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/>
          <w:szCs w:val="21"/>
          <w:shd w:val="clear" w:color="auto" w:fill="FFFFFF"/>
        </w:rPr>
        <w:t>წელს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 xml:space="preserve">, საშუალო შეწონილი ვადიანობა </w:t>
      </w:r>
      <w:r w:rsidR="00071A4F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დაფარვამდე 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შეადგენს დაახლოებით </w:t>
      </w:r>
      <w:r w:rsidR="00DE4001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E17E10" w:rsidRPr="00B73E97">
        <w:rPr>
          <w:rFonts w:ascii="Sylfaen" w:hAnsi="Sylfaen"/>
          <w:szCs w:val="21"/>
          <w:shd w:val="clear" w:color="auto" w:fill="FFFFFF"/>
          <w:lang w:val="ka-GE"/>
        </w:rPr>
        <w:t>8</w:t>
      </w:r>
      <w:r w:rsidR="004F2321" w:rsidRPr="00B73E97">
        <w:rPr>
          <w:rFonts w:ascii="Sylfaen" w:hAnsi="Sylfaen"/>
          <w:szCs w:val="21"/>
          <w:shd w:val="clear" w:color="auto" w:fill="FFFFFF"/>
        </w:rPr>
        <w:t>.</w:t>
      </w:r>
      <w:r w:rsidR="00421440">
        <w:rPr>
          <w:rFonts w:ascii="Sylfaen" w:hAnsi="Sylfaen"/>
          <w:szCs w:val="21"/>
          <w:shd w:val="clear" w:color="auto" w:fill="FFFFFF"/>
        </w:rPr>
        <w:t>7</w:t>
      </w:r>
      <w:r w:rsidR="00C126E1" w:rsidRPr="00B73E9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წელს, ხოლო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საგარეო ვალის საშუალო შეწონილი საპროცენტო განაკვეთი შეადგენს </w:t>
      </w:r>
      <w:r w:rsidR="000A7B97" w:rsidRPr="00B73E97">
        <w:rPr>
          <w:rFonts w:ascii="Sylfaen" w:hAnsi="Sylfaen" w:cs="Sylfaen"/>
          <w:szCs w:val="21"/>
          <w:shd w:val="clear" w:color="auto" w:fill="FFFFFF"/>
          <w:lang w:val="ka-GE"/>
        </w:rPr>
        <w:t>1.</w:t>
      </w:r>
      <w:r w:rsidR="00421440">
        <w:rPr>
          <w:rFonts w:ascii="Sylfaen" w:hAnsi="Sylfaen" w:cs="Sylfaen"/>
          <w:szCs w:val="21"/>
          <w:shd w:val="clear" w:color="auto" w:fill="FFFFFF"/>
        </w:rPr>
        <w:t>4</w:t>
      </w:r>
      <w:r w:rsidR="00A552F9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>%-ს.</w:t>
      </w:r>
    </w:p>
    <w:p w:rsidR="006F4202" w:rsidRPr="00421440" w:rsidRDefault="00396821" w:rsidP="00D62E87">
      <w:pPr>
        <w:tabs>
          <w:tab w:val="left" w:pos="720"/>
        </w:tabs>
        <w:spacing w:after="0" w:line="240" w:lineRule="auto"/>
        <w:jc w:val="center"/>
        <w:rPr>
          <w:rFonts w:ascii="Sylfaen" w:hAnsi="Sylfaen" w:cs="Sylfaen"/>
          <w:b/>
          <w:szCs w:val="18"/>
          <w:shd w:val="clear" w:color="auto" w:fill="FFFFFF"/>
        </w:rPr>
      </w:pPr>
      <w:r w:rsidRPr="00B73E97">
        <w:rPr>
          <w:rFonts w:ascii="Sylfaen" w:hAnsi="Sylfaen"/>
          <w:noProof/>
          <w:color w:val="8064A2" w:themeColor="accent4"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2A42B2A" wp14:editId="7F18D374">
                <wp:simplePos x="0" y="0"/>
                <wp:positionH relativeFrom="column">
                  <wp:posOffset>4022090</wp:posOffset>
                </wp:positionH>
                <wp:positionV relativeFrom="paragraph">
                  <wp:posOffset>856615</wp:posOffset>
                </wp:positionV>
                <wp:extent cx="2620029" cy="62674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0029" cy="626745"/>
                          <a:chOff x="-2" y="0"/>
                          <a:chExt cx="2620029" cy="626745"/>
                        </a:xfrm>
                      </wpg:grpSpPr>
                      <wps:wsp>
                        <wps:cNvPr id="26" name="TextBox 25"/>
                        <wps:cNvSpPr txBox="1"/>
                        <wps:spPr>
                          <a:xfrm>
                            <a:off x="198772" y="0"/>
                            <a:ext cx="2421255" cy="626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4EE2" w:rsidRPr="00A33B48" w:rsidRDefault="006C4EE2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DE4001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საშუალო შეწონილი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:rsidR="006C4EE2" w:rsidRPr="00A33B48" w:rsidRDefault="006C4EE2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proofErr w:type="gramStart"/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საპროცენტო</w:t>
                              </w:r>
                              <w:proofErr w:type="gramEnd"/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განაკვეთი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552F9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1.42%</w:t>
                              </w:r>
                            </w:p>
                            <w:p w:rsidR="006C4EE2" w:rsidRPr="00A33B48" w:rsidRDefault="006C4EE2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proofErr w:type="gramStart"/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საკონტრაქტო</w:t>
                              </w:r>
                              <w:proofErr w:type="gramEnd"/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ვადიანობა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 xml:space="preserve">1.0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წელი</w:t>
                              </w:r>
                            </w:p>
                            <w:p w:rsidR="006C4EE2" w:rsidRPr="00DE4001" w:rsidRDefault="006C4EE2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- დარჩენილი ვადიანობა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8.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7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" name="Flowchart: Extract 2"/>
                        <wps:cNvSpPr/>
                        <wps:spPr>
                          <a:xfrm rot="5400000">
                            <a:off x="-44773" y="233524"/>
                            <a:ext cx="224716" cy="135173"/>
                          </a:xfrm>
                          <a:prstGeom prst="flowChartExtra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A42B2A" id="Group 6" o:spid="_x0000_s1026" style="position:absolute;left:0;text-align:left;margin-left:316.7pt;margin-top:67.45pt;width:206.3pt;height:49.35pt;z-index:251661312" coordorigin="" coordsize="26200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7" type="#_x0000_t202" style="position:absolute;left:1987;width:24213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:rsidR="006C4EE2" w:rsidRPr="00A33B48" w:rsidRDefault="006C4EE2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DE4001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საშუალო შეწონილი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: </w:t>
                        </w:r>
                      </w:p>
                      <w:p w:rsidR="006C4EE2" w:rsidRPr="00A33B48" w:rsidRDefault="006C4EE2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proofErr w:type="gramStart"/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საპროცენტო</w:t>
                        </w:r>
                        <w:proofErr w:type="gramEnd"/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განაკვეთი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A552F9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1.42%</w:t>
                        </w:r>
                      </w:p>
                      <w:p w:rsidR="006C4EE2" w:rsidRPr="00A33B48" w:rsidRDefault="006C4EE2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proofErr w:type="gramStart"/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საკონტრაქტო</w:t>
                        </w:r>
                        <w:proofErr w:type="gramEnd"/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ვადიანობა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 xml:space="preserve">1.0 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წელი</w:t>
                        </w:r>
                      </w:p>
                      <w:p w:rsidR="006C4EE2" w:rsidRPr="00DE4001" w:rsidRDefault="006C4EE2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  <w:lang w:val="ka-GE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- დარჩენილი ვადიანობა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8.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7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" o:spid="_x0000_s1028" type="#_x0000_t127" style="position:absolute;left:-448;top:2335;width:2247;height:13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" fillcolor="white [3201]" strokecolor="#8064a2 [3207]" strokeweight="2pt"/>
              </v:group>
            </w:pict>
          </mc:Fallback>
        </mc:AlternateContent>
      </w:r>
      <w:r w:rsidRPr="00B73E97"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 wp14:anchorId="27A09B2D" wp14:editId="576DCA6A">
            <wp:simplePos x="0" y="0"/>
            <wp:positionH relativeFrom="column">
              <wp:posOffset>485775</wp:posOffset>
            </wp:positionH>
            <wp:positionV relativeFrom="paragraph">
              <wp:posOffset>186690</wp:posOffset>
            </wp:positionV>
            <wp:extent cx="3495675" cy="1838325"/>
            <wp:effectExtent l="0" t="0" r="0" b="0"/>
            <wp:wrapTopAndBottom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855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ვალის სტრუქტურა </w:t>
      </w:r>
      <w:r w:rsidR="008D1F2B" w:rsidRPr="00B73E97">
        <w:rPr>
          <w:rFonts w:ascii="Sylfaen" w:hAnsi="Sylfaen"/>
          <w:b/>
          <w:szCs w:val="18"/>
          <w:shd w:val="clear" w:color="auto" w:fill="FFFFFF"/>
          <w:lang w:val="ka-GE"/>
        </w:rPr>
        <w:t>20</w:t>
      </w:r>
      <w:r w:rsidR="000A7B97" w:rsidRPr="00B73E97">
        <w:rPr>
          <w:rFonts w:ascii="Sylfaen" w:hAnsi="Sylfaen"/>
          <w:b/>
          <w:szCs w:val="18"/>
          <w:shd w:val="clear" w:color="auto" w:fill="FFFFFF"/>
          <w:lang w:val="ka-GE"/>
        </w:rPr>
        <w:t>20</w:t>
      </w:r>
      <w:r w:rsidR="008D1F2B" w:rsidRPr="00B73E97">
        <w:rPr>
          <w:rFonts w:ascii="Sylfaen" w:hAnsi="Sylfaen"/>
          <w:b/>
          <w:szCs w:val="18"/>
          <w:shd w:val="clear" w:color="auto" w:fill="FFFFFF"/>
          <w:lang w:val="ka-GE"/>
        </w:rPr>
        <w:t xml:space="preserve"> </w:t>
      </w:r>
      <w:r w:rsidR="00CB36D7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წლის </w:t>
      </w:r>
      <w:r w:rsidR="007350CD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31 </w:t>
      </w:r>
      <w:r w:rsidR="00A552F9">
        <w:rPr>
          <w:rFonts w:ascii="Sylfaen" w:hAnsi="Sylfaen" w:cs="Sylfaen"/>
          <w:b/>
          <w:szCs w:val="18"/>
          <w:shd w:val="clear" w:color="auto" w:fill="FFFFFF"/>
          <w:lang w:val="ru-RU"/>
        </w:rPr>
        <w:t>ოქტომბრის</w:t>
      </w:r>
      <w:r w:rsidR="00EB0EE9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6F4202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:rsidR="003C2AE8" w:rsidRPr="00B73E97" w:rsidRDefault="00764192" w:rsidP="00D62E87">
      <w:pPr>
        <w:spacing w:line="240" w:lineRule="auto"/>
        <w:jc w:val="both"/>
        <w:rPr>
          <w:rFonts w:ascii="Sylfaen" w:hAnsi="Sylfaen"/>
          <w:lang w:val="ka-GE"/>
        </w:rPr>
      </w:pPr>
      <w:r w:rsidRPr="00B73E97">
        <w:rPr>
          <w:rFonts w:ascii="Sylfaen" w:hAnsi="Sylfaen"/>
          <w:lang w:val="ka-GE"/>
        </w:rPr>
        <w:t xml:space="preserve"> </w:t>
      </w:r>
    </w:p>
    <w:p w:rsidR="00B57E95" w:rsidRPr="00B73E97" w:rsidRDefault="00B57E95" w:rsidP="00D62E87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6F4202" w:rsidRPr="00B73E97" w:rsidRDefault="009363B9" w:rsidP="00D62E87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</w:rPr>
      </w:pPr>
      <w:r w:rsidRPr="00B73E97">
        <w:rPr>
          <w:rFonts w:ascii="Sylfaen" w:hAnsi="Sylfaen" w:cs="Sylfaen"/>
          <w:szCs w:val="21"/>
          <w:shd w:val="clear" w:color="auto" w:fill="FFFFFF"/>
          <w:lang w:val="ka-GE"/>
        </w:rPr>
        <w:t>20</w:t>
      </w:r>
      <w:r w:rsidR="00406FEE" w:rsidRPr="00B73E97">
        <w:rPr>
          <w:rFonts w:ascii="Sylfaen" w:hAnsi="Sylfaen" w:cs="Sylfaen"/>
          <w:szCs w:val="21"/>
          <w:shd w:val="clear" w:color="auto" w:fill="FFFFFF"/>
        </w:rPr>
        <w:t>20</w:t>
      </w:r>
      <w:r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7350CD" w:rsidRPr="00B73E97">
        <w:rPr>
          <w:rFonts w:ascii="Sylfaen" w:hAnsi="Sylfaen" w:cs="Sylfaen"/>
          <w:szCs w:val="21"/>
          <w:shd w:val="clear" w:color="auto" w:fill="FFFFFF"/>
          <w:lang w:val="ka-GE"/>
        </w:rPr>
        <w:t>31</w:t>
      </w:r>
      <w:r w:rsidR="00EB0EE9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A552F9">
        <w:rPr>
          <w:rFonts w:ascii="Sylfaen" w:hAnsi="Sylfaen" w:cs="Sylfaen"/>
          <w:szCs w:val="21"/>
          <w:shd w:val="clear" w:color="auto" w:fill="FFFFFF"/>
          <w:lang w:val="ka-GE"/>
        </w:rPr>
        <w:t>ოქტომბრის</w:t>
      </w:r>
      <w:r w:rsidR="00A552F9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A7187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მდგომარეობით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პორტფელის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7447C" w:rsidRPr="00B73E97">
        <w:rPr>
          <w:rFonts w:ascii="Sylfaen" w:hAnsi="Sylfaen" w:cs="Sylfaen"/>
          <w:szCs w:val="21"/>
          <w:shd w:val="clear" w:color="auto" w:fill="FFFFFF"/>
        </w:rPr>
        <w:t>5</w:t>
      </w:r>
      <w:r w:rsidR="00A552F9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%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შედგება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ფიქსირებული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განაკვეთის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მქონე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კრედიტებისგან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. </w:t>
      </w:r>
      <w:proofErr w:type="spellStart"/>
      <w:proofErr w:type="gramStart"/>
      <w:r w:rsidR="006F4202" w:rsidRPr="00B73E97">
        <w:rPr>
          <w:rFonts w:ascii="Sylfaen" w:hAnsi="Sylfaen" w:cs="Sylfaen"/>
          <w:szCs w:val="21"/>
          <w:shd w:val="clear" w:color="auto" w:fill="FFFFFF"/>
        </w:rPr>
        <w:t>ეს</w:t>
      </w:r>
      <w:proofErr w:type="spellEnd"/>
      <w:proofErr w:type="gram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გარემოება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ხელს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უწყობს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საქართველოს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პარამეტრების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დაცულობას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განაკვეთების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ეგზოგენური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რყევებისგან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უზრუნველყოფს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ხარჯების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შენარჩუნებას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დაბალ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დონეზე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. საგარეო ვალის </w:t>
      </w:r>
      <w:r w:rsidR="00E165DE" w:rsidRPr="00B73E97">
        <w:rPr>
          <w:rFonts w:ascii="Sylfaen" w:hAnsi="Sylfaen" w:cs="Sylfaen"/>
          <w:szCs w:val="21"/>
          <w:shd w:val="clear" w:color="auto" w:fill="FFFFFF"/>
        </w:rPr>
        <w:t>2</w:t>
      </w:r>
      <w:r w:rsidR="00A552F9">
        <w:rPr>
          <w:rFonts w:ascii="Sylfaen" w:hAnsi="Sylfaen" w:cs="Sylfaen"/>
          <w:szCs w:val="21"/>
          <w:shd w:val="clear" w:color="auto" w:fill="FFFFFF"/>
          <w:lang w:val="ka-GE"/>
        </w:rPr>
        <w:t>7</w:t>
      </w:r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% 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>SDR-</w:t>
      </w:r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შია დენომინირებული (ნასესხობის სპეციალური უფლება) მსოფლიო ბანკის, საერთაშორისო სავალუტო ფონდის და აზიის განვითარების ბანკის ფინანსური რესურსების დიდი წილის გამო. </w:t>
      </w:r>
    </w:p>
    <w:p w:rsidR="00B7509F" w:rsidRPr="00B73E97" w:rsidRDefault="00570C98" w:rsidP="00D62E87">
      <w:pPr>
        <w:tabs>
          <w:tab w:val="left" w:pos="360"/>
        </w:tabs>
        <w:spacing w:line="240" w:lineRule="auto"/>
        <w:rPr>
          <w:rFonts w:ascii="Sylfaen" w:hAnsi="Sylfaen"/>
          <w:lang w:val="ka-GE"/>
        </w:rPr>
      </w:pPr>
      <w:r w:rsidRPr="00B73E97">
        <w:rPr>
          <w:rFonts w:ascii="Sylfaen" w:hAnsi="Sylfaen"/>
          <w:lang w:val="ka-GE"/>
        </w:rPr>
        <w:t xml:space="preserve">  </w:t>
      </w:r>
    </w:p>
    <w:p w:rsidR="00A93CD1" w:rsidRPr="00B73E97" w:rsidRDefault="00A93CD1" w:rsidP="00D62E87">
      <w:pPr>
        <w:tabs>
          <w:tab w:val="left" w:pos="360"/>
        </w:tabs>
        <w:spacing w:line="240" w:lineRule="auto"/>
        <w:rPr>
          <w:rFonts w:ascii="Sylfaen" w:hAnsi="Sylfaen"/>
        </w:rPr>
      </w:pPr>
    </w:p>
    <w:p w:rsidR="00A93CD1" w:rsidRPr="00B73E97" w:rsidRDefault="0073687D" w:rsidP="00D62E87">
      <w:pPr>
        <w:tabs>
          <w:tab w:val="left" w:pos="360"/>
        </w:tabs>
        <w:spacing w:line="240" w:lineRule="auto"/>
        <w:rPr>
          <w:rFonts w:ascii="Sylfaen" w:hAnsi="Sylfaen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4384" behindDoc="1" locked="0" layoutInCell="1" allowOverlap="1" wp14:anchorId="0797E63E" wp14:editId="69689C7B">
            <wp:simplePos x="0" y="0"/>
            <wp:positionH relativeFrom="column">
              <wp:posOffset>4218305</wp:posOffset>
            </wp:positionH>
            <wp:positionV relativeFrom="paragraph">
              <wp:posOffset>5080</wp:posOffset>
            </wp:positionV>
            <wp:extent cx="1813214" cy="1472047"/>
            <wp:effectExtent l="0" t="0" r="0" b="0"/>
            <wp:wrapTight wrapText="bothSides">
              <wp:wrapPolygon edited="0">
                <wp:start x="0" y="0"/>
                <wp:lineTo x="0" y="21246"/>
                <wp:lineTo x="21335" y="21246"/>
                <wp:lineTo x="21335" y="0"/>
                <wp:lineTo x="0" y="0"/>
              </wp:wrapPolygon>
            </wp:wrapTight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AC5A55">
        <w:rPr>
          <w:noProof/>
          <w:lang w:val="ru-RU" w:eastAsia="ru-RU"/>
        </w:rPr>
        <w:drawing>
          <wp:anchor distT="0" distB="0" distL="114300" distR="114300" simplePos="0" relativeHeight="251665408" behindDoc="1" locked="0" layoutInCell="1" allowOverlap="1" wp14:anchorId="0761DFD4" wp14:editId="50D48250">
            <wp:simplePos x="0" y="0"/>
            <wp:positionH relativeFrom="column">
              <wp:posOffset>1028700</wp:posOffset>
            </wp:positionH>
            <wp:positionV relativeFrom="paragraph">
              <wp:posOffset>5080</wp:posOffset>
            </wp:positionV>
            <wp:extent cx="2228850" cy="1419225"/>
            <wp:effectExtent l="0" t="0" r="0" b="0"/>
            <wp:wrapTight wrapText="bothSides">
              <wp:wrapPolygon edited="0">
                <wp:start x="0" y="0"/>
                <wp:lineTo x="0" y="21165"/>
                <wp:lineTo x="21415" y="21165"/>
                <wp:lineTo x="21415" y="0"/>
                <wp:lineTo x="0" y="0"/>
              </wp:wrapPolygon>
            </wp:wrapTight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42C4" w:rsidRPr="00B73E97" w:rsidRDefault="006042C4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2F5FB0" w:rsidRPr="00B73E97" w:rsidRDefault="002F5FB0" w:rsidP="00D62E87">
      <w:pPr>
        <w:spacing w:line="240" w:lineRule="auto"/>
        <w:rPr>
          <w:rFonts w:ascii="Sylfaen" w:hAnsi="Sylfaen"/>
          <w:b/>
          <w:lang w:val="ka-GE"/>
        </w:rPr>
      </w:pPr>
      <w:r w:rsidRPr="00B73E97">
        <w:rPr>
          <w:rFonts w:ascii="Sylfaen" w:hAnsi="Sylfaen"/>
          <w:b/>
          <w:lang w:val="ka-GE"/>
        </w:rPr>
        <w:br w:type="page"/>
      </w:r>
    </w:p>
    <w:p w:rsidR="00071D1D" w:rsidRPr="00B73E97" w:rsidRDefault="00784855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B73E97">
        <w:rPr>
          <w:rFonts w:ascii="Sylfaen" w:hAnsi="Sylfaen"/>
          <w:b/>
          <w:lang w:val="ka-GE"/>
        </w:rPr>
        <w:lastRenderedPageBreak/>
        <w:t>მთავრობის</w:t>
      </w:r>
      <w:r w:rsidR="00071D1D" w:rsidRPr="00B73E97">
        <w:rPr>
          <w:rFonts w:ascii="Sylfaen" w:hAnsi="Sylfaen"/>
          <w:b/>
          <w:lang w:val="ka-GE"/>
        </w:rPr>
        <w:t xml:space="preserve"> საგარეო ვალის სტრუქტურა - </w:t>
      </w:r>
      <w:r w:rsidRPr="00B73E97">
        <w:rPr>
          <w:rFonts w:ascii="Sylfaen" w:hAnsi="Sylfaen"/>
          <w:b/>
          <w:lang w:val="ka-GE"/>
        </w:rPr>
        <w:t>20</w:t>
      </w:r>
      <w:r w:rsidR="00B71865" w:rsidRPr="00B73E97">
        <w:rPr>
          <w:rFonts w:ascii="Sylfaen" w:hAnsi="Sylfaen"/>
          <w:b/>
        </w:rPr>
        <w:t>20</w:t>
      </w:r>
      <w:r w:rsidR="00E46C45" w:rsidRPr="00B73E97">
        <w:rPr>
          <w:rFonts w:ascii="Sylfaen" w:hAnsi="Sylfaen"/>
          <w:b/>
          <w:lang w:val="ka-GE"/>
        </w:rPr>
        <w:t xml:space="preserve"> წლის </w:t>
      </w:r>
      <w:r w:rsidR="007350CD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>31</w:t>
      </w:r>
      <w:r w:rsidR="001757D3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73687D">
        <w:rPr>
          <w:rFonts w:ascii="Sylfaen" w:hAnsi="Sylfaen" w:cs="Sylfaen"/>
          <w:b/>
          <w:szCs w:val="18"/>
          <w:shd w:val="clear" w:color="auto" w:fill="FFFFFF"/>
          <w:lang w:val="ka-GE"/>
        </w:rPr>
        <w:t>ოქტომბრის</w:t>
      </w:r>
      <w:r w:rsidR="00E46C45" w:rsidRPr="00B73E97">
        <w:rPr>
          <w:rFonts w:ascii="Sylfaen" w:hAnsi="Sylfaen"/>
          <w:b/>
          <w:lang w:val="ka-GE"/>
        </w:rPr>
        <w:t xml:space="preserve"> </w:t>
      </w:r>
      <w:r w:rsidR="00071D1D" w:rsidRPr="00B73E97">
        <w:rPr>
          <w:rFonts w:ascii="Sylfaen" w:hAnsi="Sylfaen"/>
          <w:b/>
          <w:lang w:val="ka-GE"/>
        </w:rPr>
        <w:t>მდგომარეობით</w:t>
      </w:r>
    </w:p>
    <w:p w:rsidR="009139F2" w:rsidRPr="00B73E97" w:rsidRDefault="009139F2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tbl>
      <w:tblPr>
        <w:tblW w:w="1051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716"/>
        <w:gridCol w:w="1281"/>
        <w:gridCol w:w="1281"/>
        <w:gridCol w:w="1281"/>
        <w:gridCol w:w="1281"/>
        <w:gridCol w:w="1281"/>
      </w:tblGrid>
      <w:tr w:rsidR="0073687D" w:rsidTr="00945C13">
        <w:trPr>
          <w:trHeight w:hRule="exact" w:val="575"/>
          <w:tblHeader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კრედიტორი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კრედიტის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ვალუტა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ნაშთი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ათასი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აშშ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დოლარი</w:t>
            </w:r>
            <w:proofErr w:type="spellEnd"/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ნაშთი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ათასი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ლარი</w:t>
            </w:r>
            <w:proofErr w:type="spellEnd"/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საპროცენტო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განაკვეთი</w:t>
            </w:r>
            <w:proofErr w:type="spellEnd"/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87D" w:rsidRDefault="0073687D" w:rsidP="00945C13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2"/>
                <w:szCs w:val="12"/>
              </w:rPr>
              <w:t>საპროცენტო</w:t>
            </w:r>
            <w:proofErr w:type="spellEnd"/>
            <w:r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2"/>
                <w:szCs w:val="12"/>
              </w:rPr>
              <w:t>განაკვეთი</w:t>
            </w:r>
            <w:proofErr w:type="spellEnd"/>
            <w:r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</w:t>
            </w:r>
            <w:r w:rsidR="00945C13">
              <w:rPr>
                <w:rFonts w:ascii="Calibri" w:hAnsi="Calibri" w:cs="Calibri"/>
                <w:b/>
                <w:bCs/>
                <w:sz w:val="12"/>
                <w:szCs w:val="12"/>
                <w:lang w:val="ka-GE"/>
              </w:rPr>
              <w:t>31.10.</w:t>
            </w:r>
            <w:r>
              <w:rPr>
                <w:rFonts w:ascii="Calibri" w:hAnsi="Calibri" w:cs="Calibri"/>
                <w:b/>
                <w:bCs/>
                <w:sz w:val="12"/>
                <w:szCs w:val="12"/>
              </w:rPr>
              <w:t>.2020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შეწონილი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საპროცენტო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განაკვეთი</w:t>
            </w:r>
            <w:proofErr w:type="spellEnd"/>
          </w:p>
        </w:tc>
      </w:tr>
      <w:tr w:rsidR="0073687D" w:rsidTr="00945C13">
        <w:trPr>
          <w:trHeight w:hRule="exact" w:val="275"/>
          <w:jc w:val="center"/>
        </w:trPr>
        <w:tc>
          <w:tcPr>
            <w:tcW w:w="410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მთავრობის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საგარეო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ვალი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6,737,756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21,781,144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</w:tr>
      <w:tr w:rsidR="0073687D" w:rsidTr="00945C13">
        <w:trPr>
          <w:trHeight w:hRule="exact" w:val="288"/>
          <w:jc w:val="center"/>
        </w:trPr>
        <w:tc>
          <w:tcPr>
            <w:tcW w:w="41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მრავალმხრივი</w:t>
            </w:r>
            <w:proofErr w:type="spellEnd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კრედიტორები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4,634,495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14,981,933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განვითარების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საერთაშორისო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ასოციაცია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(WB - IDA)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664,229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2,147,254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0.750%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0.074%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236,224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763,643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2.000%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0.070%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9,026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29,179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2.150%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განვითარების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საერთაშორისო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ასოციაცია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(WB - IBRD)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105,048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339,588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1.39%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0.02%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55,092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178,095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proofErr w:type="spellStart"/>
            <w:r>
              <w:rPr>
                <w:rFonts w:ascii="Calibri" w:hAnsi="Calibri" w:cs="Calibri"/>
                <w:sz w:val="12"/>
                <w:szCs w:val="12"/>
              </w:rPr>
              <w:t>Euribor+VS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0.52%</w:t>
            </w:r>
          </w:p>
        </w:tc>
        <w:tc>
          <w:tcPr>
            <w:tcW w:w="1281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52,057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168,285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dotted" w:sz="4" w:space="0" w:color="A6A6A6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0.67%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dotted" w:sz="4" w:space="0" w:color="A6A6A6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40,456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130,783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dotted" w:sz="4" w:space="0" w:color="A6A6A6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0.82%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dotted" w:sz="4" w:space="0" w:color="A6A6A6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1,550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5,010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1.110%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163,291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527,870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Libor+VS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0.640%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0.016%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43,273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139,890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0.840%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0.005%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8,685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28,076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0.950%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28,934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93,534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0.980%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148,407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479,755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1.040%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0.023%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134,723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435,521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1.110%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0.022%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387,924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1.250%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0.022%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6,795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21,967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1.270%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32,124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103,848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1.280%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25,283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81,733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1.370%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0.005%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57,530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185,977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1.410%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0.012%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50,232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162,385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1.490%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0.011%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სოფლის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მეურნეობის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განვითარების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საერთაშორისო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ფონდი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(IFAD)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18,088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58,473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0.750%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11,540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37,305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2.000%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3,878.08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12,536.67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(SDR LIBOR + IBRD Variable Spread)/2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0.700%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875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2,830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0.980%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3687D" w:rsidTr="00945C13">
        <w:trPr>
          <w:trHeight w:hRule="exact" w:val="195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Pr="00291724" w:rsidRDefault="0073687D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291724">
              <w:rPr>
                <w:rFonts w:ascii="Calibri" w:hAnsi="Calibri" w:cs="Calibri"/>
                <w:sz w:val="16"/>
                <w:szCs w:val="16"/>
              </w:rPr>
              <w:t>საერთაშორისო</w:t>
            </w:r>
            <w:proofErr w:type="spellEnd"/>
            <w:r w:rsidRPr="0029172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291724">
              <w:rPr>
                <w:rFonts w:ascii="Calibri" w:hAnsi="Calibri" w:cs="Calibri"/>
                <w:sz w:val="16"/>
                <w:szCs w:val="16"/>
              </w:rPr>
              <w:t>სავალუტო</w:t>
            </w:r>
            <w:proofErr w:type="spellEnd"/>
            <w:r w:rsidRPr="0029172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291724">
              <w:rPr>
                <w:rFonts w:ascii="Calibri" w:hAnsi="Calibri" w:cs="Calibri"/>
                <w:sz w:val="16"/>
                <w:szCs w:val="16"/>
              </w:rPr>
              <w:t>ფონდი</w:t>
            </w:r>
            <w:proofErr w:type="spellEnd"/>
            <w:r w:rsidRPr="00291724">
              <w:rPr>
                <w:rFonts w:ascii="Calibri" w:hAnsi="Calibri" w:cs="Calibri"/>
                <w:sz w:val="16"/>
                <w:szCs w:val="16"/>
              </w:rPr>
              <w:t xml:space="preserve"> (IMF EFF,MOF)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207,511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670,821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SDR Rate of Charge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1.130%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0.035%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ევროგაერთიანება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(EU)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11,672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37,732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0.519%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15,174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49,052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1.163%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17,508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56,598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1.250%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73687D" w:rsidTr="00945C13">
        <w:trPr>
          <w:trHeight w:hRule="exact" w:val="405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Pr="00291724" w:rsidRDefault="0073687D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291724">
              <w:rPr>
                <w:rFonts w:ascii="Calibri" w:hAnsi="Calibri" w:cs="Calibri"/>
                <w:sz w:val="16"/>
                <w:szCs w:val="16"/>
              </w:rPr>
              <w:t>ევროპის</w:t>
            </w:r>
            <w:proofErr w:type="spellEnd"/>
            <w:r w:rsidRPr="0029172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291724">
              <w:rPr>
                <w:rFonts w:ascii="Calibri" w:hAnsi="Calibri" w:cs="Calibri"/>
                <w:sz w:val="16"/>
                <w:szCs w:val="16"/>
              </w:rPr>
              <w:t>რეკონსტრუქციის</w:t>
            </w:r>
            <w:proofErr w:type="spellEnd"/>
            <w:r w:rsidRPr="0029172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291724">
              <w:rPr>
                <w:rFonts w:ascii="Calibri" w:hAnsi="Calibri" w:cs="Calibri"/>
                <w:sz w:val="16"/>
                <w:szCs w:val="16"/>
              </w:rPr>
              <w:t>და</w:t>
            </w:r>
            <w:proofErr w:type="spellEnd"/>
            <w:r w:rsidRPr="0029172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291724">
              <w:rPr>
                <w:rFonts w:ascii="Calibri" w:hAnsi="Calibri" w:cs="Calibri"/>
                <w:sz w:val="16"/>
                <w:szCs w:val="16"/>
              </w:rPr>
              <w:t>განვითარების</w:t>
            </w:r>
            <w:proofErr w:type="spellEnd"/>
            <w:r w:rsidRPr="0029172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291724">
              <w:rPr>
                <w:rFonts w:ascii="Calibri" w:hAnsi="Calibri" w:cs="Calibri"/>
                <w:sz w:val="16"/>
                <w:szCs w:val="16"/>
              </w:rPr>
              <w:t>ბანკი</w:t>
            </w:r>
            <w:proofErr w:type="spellEnd"/>
            <w:r w:rsidRPr="00291724">
              <w:rPr>
                <w:rFonts w:ascii="Calibri" w:hAnsi="Calibri" w:cs="Calibri"/>
                <w:sz w:val="16"/>
                <w:szCs w:val="16"/>
              </w:rPr>
              <w:t xml:space="preserve"> (EBRD)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167,765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542,334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EURIBOR+ 1%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0.920%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0.023%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7D" w:rsidRDefault="007368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აზიის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განვითარების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ბანკი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(ADB)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60,882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196,813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1.000%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0.009%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332,686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1,075,475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1.500%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0.074%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34,459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111,396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1.600%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0.008%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232,838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752,695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2.000%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0.069%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107,735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348,274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0.262%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19,348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62,546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 + Fixed Spread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0.045%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131,576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425,347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0.275%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0.005%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79,951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258,459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0.578%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0.007%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41,667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134,696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LIBOR + Fixed Spread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0.602%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69,909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225,994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0.759%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0.008%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45,833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148,165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0.835%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45,580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147,345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0.958%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35,714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115,452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0.959%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0.005%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46,453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150,169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1.002%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0.007%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12,667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40,948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1.175%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66,762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215,822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1.215%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0.012%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18,386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59,435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1.505%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33,195</w:t>
            </w:r>
            <w:bookmarkStart w:id="0" w:name="_GoBack"/>
            <w:bookmarkEnd w:id="0"/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107,309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1.792%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0.009%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7D" w:rsidRDefault="007368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აზიის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ინფრასტრუქტურის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განვითარების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ბანკი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(AIIB)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35,864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115,936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87D" w:rsidRPr="0073687D" w:rsidRDefault="0073687D" w:rsidP="0073687D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3687D">
              <w:rPr>
                <w:rFonts w:ascii="Calibri" w:hAnsi="Calibri" w:cs="Calibri"/>
                <w:sz w:val="14"/>
                <w:szCs w:val="14"/>
              </w:rPr>
              <w:t>LIBOR + V Spread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1.680%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0.009%</w:t>
            </w:r>
          </w:p>
        </w:tc>
      </w:tr>
      <w:tr w:rsidR="0073687D" w:rsidTr="00945C13">
        <w:trPr>
          <w:trHeight w:hRule="exact" w:val="338"/>
          <w:jc w:val="center"/>
        </w:trPr>
        <w:tc>
          <w:tcPr>
            <w:tcW w:w="33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40,460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130,795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Euribor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VSpread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0.990%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73687D" w:rsidTr="00945C13">
        <w:trPr>
          <w:trHeight w:hRule="exact" w:val="569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ევროსაბჭოს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განვითარების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ბანკი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(CEB)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1,052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3,402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Euribor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VSpread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0.308%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ევროპის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საინვესტიციო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ბანკი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(EIB)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99,212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320,722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0.308%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0.005%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23,344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75,464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0.593%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9,748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31,512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0.856%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23,344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75,464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0.867%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11,672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37,732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1.652%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25,754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83,254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1.693%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23,344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75,464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1.937%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0.007%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195,506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632,011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EURIBOR+FS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35,016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113,196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0.113%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17,508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56,598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0.141%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23,344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75,464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0.153%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87,540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282,990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0.220%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3,502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11,320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0.506%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12,514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40,453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0.563%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63,899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206,567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0.571%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0.005%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10,580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34,200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0.623%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37,880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122,453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0.633%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73687D" w:rsidTr="00945C13">
        <w:trPr>
          <w:trHeight w:hRule="exact" w:val="499"/>
          <w:jc w:val="center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91724">
              <w:rPr>
                <w:rFonts w:ascii="Calibri" w:hAnsi="Calibri" w:cs="Calibri"/>
                <w:sz w:val="16"/>
                <w:szCs w:val="16"/>
              </w:rPr>
              <w:t>სკანდინავიური</w:t>
            </w:r>
            <w:proofErr w:type="spellEnd"/>
            <w:r w:rsidRPr="0029172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291724">
              <w:rPr>
                <w:rFonts w:ascii="Calibri" w:hAnsi="Calibri" w:cs="Calibri"/>
                <w:sz w:val="16"/>
                <w:szCs w:val="16"/>
              </w:rPr>
              <w:t>გარემოსდაცვის</w:t>
            </w:r>
            <w:proofErr w:type="spellEnd"/>
            <w:r w:rsidRPr="0029172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291724">
              <w:rPr>
                <w:rFonts w:ascii="Calibri" w:hAnsi="Calibri" w:cs="Calibri"/>
                <w:sz w:val="16"/>
                <w:szCs w:val="16"/>
              </w:rPr>
              <w:t>საფინანსო</w:t>
            </w:r>
            <w:proofErr w:type="spellEnd"/>
            <w:r w:rsidRPr="0029172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291724">
              <w:rPr>
                <w:rFonts w:ascii="Calibri" w:hAnsi="Calibri" w:cs="Calibri"/>
                <w:sz w:val="16"/>
                <w:szCs w:val="16"/>
              </w:rPr>
              <w:t>კორპორაცია</w:t>
            </w:r>
            <w:proofErr w:type="spellEnd"/>
            <w:r w:rsidRPr="00291724">
              <w:rPr>
                <w:rFonts w:ascii="Calibri" w:hAnsi="Calibri" w:cs="Calibri"/>
                <w:sz w:val="16"/>
                <w:szCs w:val="16"/>
              </w:rPr>
              <w:t xml:space="preserve"> (NEFCO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)  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2,597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2.000%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3687D" w:rsidTr="00945C13">
        <w:trPr>
          <w:trHeight w:hRule="exact" w:val="315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ორმხრივი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კრედიტორები</w:t>
            </w:r>
            <w:proofErr w:type="spellEnd"/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1,601,578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5,177,420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ავსტრია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18,914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61,142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1.000%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აზერბაიჯანი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5,685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18,377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3.000%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თურქმენეთი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682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4.000%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თურქეთი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10,959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35,426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3.125%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0.005%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ირანი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4,306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13,919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3.000%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რუსეთი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43,134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139,440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4.000%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0.026%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სომხეთი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5,954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19,247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3.000%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უზბეკეთი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244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3.000%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უკრაინა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69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223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3.000%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ყაზახეთი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9,990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32,293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4.000%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ჩინეთი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CNY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897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2,900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გერმანია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KfW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2,003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6,476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EURIBOR+ 0.3%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0.005%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226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732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EURIBOR+ 0.72%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0.175%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210,096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679,176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EURIBOR+ 0.72%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0.350%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0.011%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105,048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339,588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EURIBOR+ 0.72%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0.445%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0.007%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127,225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411,279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EURIBOR+ 0.75%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0.625%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0.012%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125,849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406,833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0.750%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0.014%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27,950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90,355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1.650%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0.007%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421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1.900%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31,931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103,223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2.000%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0.009%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25,287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81,744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2.200%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0.008%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13,201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42,675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4.200%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0.008%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26,262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84,897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5.703%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0.022%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9,551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30,876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6.683%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0.009%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იაპონია</w:t>
            </w:r>
            <w:proofErr w:type="spellEnd"/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JPY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27,872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90,101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0.010%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142,895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461,936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0.650%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0.014%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1,267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4,096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1.300%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27,015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87,330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1.400%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18,670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60,354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2.300%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კუვეიტი</w:t>
            </w:r>
            <w:proofErr w:type="spellEnd"/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KWD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936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3,025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2.500%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6,943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22,446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3.000%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ნიდერლანდები</w:t>
            </w:r>
            <w:proofErr w:type="spellEnd"/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394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4.200%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367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1,188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5.100%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აშშ</w:t>
            </w:r>
            <w:proofErr w:type="spellEnd"/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371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1.500%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6,256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20,223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2.000%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3,822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12,355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2.250%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6,126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19,803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2.500%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საფრანგეთი</w:t>
            </w:r>
            <w:proofErr w:type="spellEnd"/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13,872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44,845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0.170%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221,768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716,908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0.420%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0.014%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22,420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72,478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1.100%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15,934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51,511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1.270%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27,852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90,036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1.410%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180,916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584,846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 + 0.6%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0.250%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0.007%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70,032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226,392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 + 0.6%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0.320%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1,428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4,616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 + 2.1%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2.100%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3687D" w:rsidTr="00945C13">
        <w:trPr>
          <w:trHeight w:hRule="exact" w:val="304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ფასიანი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ქაღალდები</w:t>
            </w:r>
            <w:proofErr w:type="spellEnd"/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1,616,350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73687D" w:rsidTr="00945C13">
        <w:trPr>
          <w:trHeight w:hRule="exact" w:val="320"/>
          <w:jc w:val="center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ევროობლიგაცია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2021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500,000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1,616,350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6.875%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0.510%</w:t>
            </w:r>
          </w:p>
        </w:tc>
      </w:tr>
      <w:tr w:rsidR="0073687D" w:rsidTr="00945C13">
        <w:trPr>
          <w:trHeight w:hRule="exact" w:val="355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გარანტირებული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კრედიტები</w:t>
            </w:r>
            <w:proofErr w:type="spellEnd"/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1,683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5,440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73687D" w:rsidTr="00945C13">
        <w:trPr>
          <w:trHeight w:hRule="exact" w:val="198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გერმანია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KfW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1,683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5,440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0.750%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3687D" w:rsidTr="00945C13">
        <w:trPr>
          <w:trHeight w:hRule="exact" w:val="352"/>
          <w:jc w:val="center"/>
        </w:trPr>
        <w:tc>
          <w:tcPr>
            <w:tcW w:w="41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1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საშუალო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შეწონილი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საპროცენტო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განაკვეთი</w:t>
            </w:r>
            <w:proofErr w:type="spellEnd"/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1.42%</w:t>
            </w:r>
          </w:p>
        </w:tc>
      </w:tr>
    </w:tbl>
    <w:p w:rsidR="000A05E4" w:rsidRPr="00B73E97" w:rsidRDefault="000A05E4" w:rsidP="0073687D">
      <w:pPr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A405DB" w:rsidRDefault="000A05E4" w:rsidP="002A0BB1">
      <w:pPr>
        <w:pStyle w:val="Default"/>
        <w:ind w:firstLine="708"/>
        <w:jc w:val="both"/>
        <w:rPr>
          <w:sz w:val="22"/>
          <w:szCs w:val="22"/>
          <w:shd w:val="clear" w:color="auto" w:fill="FFFFFF"/>
          <w:lang w:val="ka-GE"/>
        </w:rPr>
      </w:pPr>
      <w:r w:rsidRPr="00B73E97">
        <w:rPr>
          <w:sz w:val="22"/>
          <w:szCs w:val="22"/>
          <w:shd w:val="clear" w:color="auto" w:fill="FFFFFF"/>
          <w:lang w:val="ka-GE"/>
        </w:rPr>
        <w:t>202</w:t>
      </w:r>
      <w:r w:rsidR="009333B0" w:rsidRPr="00B73E97">
        <w:rPr>
          <w:sz w:val="22"/>
          <w:szCs w:val="22"/>
          <w:shd w:val="clear" w:color="auto" w:fill="FFFFFF"/>
        </w:rPr>
        <w:t>1</w:t>
      </w:r>
      <w:r w:rsidRPr="00B73E97">
        <w:rPr>
          <w:sz w:val="22"/>
          <w:szCs w:val="22"/>
          <w:shd w:val="clear" w:color="auto" w:fill="FFFFFF"/>
          <w:lang w:val="ka-GE"/>
        </w:rPr>
        <w:t xml:space="preserve"> წლის სახელმწიფო ბიუჯეტის პროექტი ითვალისწინებს საერთაშორისო საფინანსო  ინსტიტუტებისა და უცხო ქვეყნების მთავრობების მიერ საქართველოსთვის გამოყოფილი გრძელვადიანი საინვესტიციო კრედიტების ათვისებას 1 </w:t>
      </w:r>
      <w:r w:rsidR="005C33E2">
        <w:rPr>
          <w:sz w:val="22"/>
          <w:szCs w:val="22"/>
          <w:shd w:val="clear" w:color="auto" w:fill="FFFFFF"/>
        </w:rPr>
        <w:t>450</w:t>
      </w:r>
      <w:r w:rsidR="009333B0" w:rsidRPr="00B73E97">
        <w:rPr>
          <w:sz w:val="22"/>
          <w:szCs w:val="22"/>
          <w:shd w:val="clear" w:color="auto" w:fill="FFFFFF"/>
        </w:rPr>
        <w:t xml:space="preserve"> </w:t>
      </w:r>
      <w:r w:rsidR="005C33E2">
        <w:rPr>
          <w:sz w:val="22"/>
          <w:szCs w:val="22"/>
          <w:shd w:val="clear" w:color="auto" w:fill="FFFFFF"/>
        </w:rPr>
        <w:t>915</w:t>
      </w:r>
      <w:r w:rsidRPr="00B73E97">
        <w:rPr>
          <w:sz w:val="22"/>
          <w:szCs w:val="22"/>
          <w:shd w:val="clear" w:color="auto" w:fill="FFFFFF"/>
          <w:lang w:val="ka-GE"/>
        </w:rPr>
        <w:t>.</w:t>
      </w:r>
      <w:r w:rsidR="009333B0" w:rsidRPr="00B73E97">
        <w:rPr>
          <w:sz w:val="22"/>
          <w:szCs w:val="22"/>
          <w:shd w:val="clear" w:color="auto" w:fill="FFFFFF"/>
        </w:rPr>
        <w:t>0</w:t>
      </w:r>
      <w:r w:rsidRPr="00B73E97">
        <w:rPr>
          <w:sz w:val="22"/>
          <w:szCs w:val="22"/>
          <w:shd w:val="clear" w:color="auto" w:fill="FFFFFF"/>
          <w:lang w:val="ka-GE"/>
        </w:rPr>
        <w:t xml:space="preserve"> ათასი ლარის ოდენობით. </w:t>
      </w:r>
      <w:r w:rsidR="002A0BB1">
        <w:rPr>
          <w:sz w:val="22"/>
          <w:szCs w:val="22"/>
          <w:shd w:val="clear" w:color="auto" w:fill="FFFFFF"/>
          <w:lang w:val="ka-GE"/>
        </w:rPr>
        <w:t xml:space="preserve">ასევე, </w:t>
      </w:r>
      <w:r w:rsidRPr="00B73E97">
        <w:rPr>
          <w:sz w:val="22"/>
          <w:szCs w:val="22"/>
          <w:shd w:val="clear" w:color="auto" w:fill="FFFFFF"/>
          <w:lang w:val="ka-GE"/>
        </w:rPr>
        <w:t xml:space="preserve"> ბიუჯეტის მხარდამჭერი რესურსის სახით</w:t>
      </w:r>
      <w:r w:rsidR="00A405DB" w:rsidRPr="00B73E97">
        <w:rPr>
          <w:sz w:val="22"/>
          <w:szCs w:val="22"/>
          <w:shd w:val="clear" w:color="auto" w:fill="FFFFFF"/>
        </w:rPr>
        <w:t xml:space="preserve"> </w:t>
      </w:r>
      <w:r w:rsidR="00A405DB" w:rsidRPr="00B73E97">
        <w:rPr>
          <w:sz w:val="22"/>
          <w:szCs w:val="22"/>
          <w:shd w:val="clear" w:color="auto" w:fill="FFFFFF"/>
          <w:lang w:val="ka-GE"/>
        </w:rPr>
        <w:t>თანხების მობილიზებას</w:t>
      </w:r>
      <w:r w:rsidR="002A0BB1">
        <w:rPr>
          <w:sz w:val="22"/>
          <w:szCs w:val="22"/>
          <w:shd w:val="clear" w:color="auto" w:fill="FFFFFF"/>
          <w:lang w:val="ka-GE"/>
        </w:rPr>
        <w:t xml:space="preserve"> 2 171 000.0 </w:t>
      </w:r>
      <w:r w:rsidR="002D596E">
        <w:rPr>
          <w:sz w:val="22"/>
          <w:szCs w:val="22"/>
          <w:shd w:val="clear" w:color="auto" w:fill="FFFFFF"/>
          <w:lang w:val="ka-GE"/>
        </w:rPr>
        <w:t xml:space="preserve">ათასი </w:t>
      </w:r>
      <w:r w:rsidR="002A0BB1">
        <w:rPr>
          <w:sz w:val="22"/>
          <w:szCs w:val="22"/>
          <w:shd w:val="clear" w:color="auto" w:fill="FFFFFF"/>
          <w:lang w:val="ka-GE"/>
        </w:rPr>
        <w:t>ლარის მობილიზებას</w:t>
      </w:r>
      <w:r w:rsidR="00A405DB" w:rsidRPr="00B73E97">
        <w:rPr>
          <w:sz w:val="22"/>
          <w:szCs w:val="22"/>
          <w:shd w:val="clear" w:color="auto" w:fill="FFFFFF"/>
          <w:lang w:val="ka-GE"/>
        </w:rPr>
        <w:t>:</w:t>
      </w:r>
    </w:p>
    <w:p w:rsidR="002D596E" w:rsidRPr="00B73E97" w:rsidRDefault="002D596E" w:rsidP="002A0BB1">
      <w:pPr>
        <w:pStyle w:val="Default"/>
        <w:ind w:firstLine="708"/>
        <w:jc w:val="both"/>
        <w:rPr>
          <w:sz w:val="22"/>
          <w:szCs w:val="22"/>
          <w:shd w:val="clear" w:color="auto" w:fill="FFFFFF"/>
          <w:lang w:val="ka-GE"/>
        </w:rPr>
      </w:pPr>
    </w:p>
    <w:p w:rsidR="00071A46" w:rsidRPr="00657A6F" w:rsidRDefault="00071A46" w:rsidP="00835890">
      <w:pPr>
        <w:pStyle w:val="Normal22"/>
        <w:spacing w:after="0" w:line="240" w:lineRule="auto"/>
        <w:ind w:left="708"/>
        <w:jc w:val="both"/>
        <w:rPr>
          <w:rFonts w:ascii="Sylfaen" w:eastAsia="Sylfaen" w:hAnsi="Sylfaen" w:cs="Sylfaen"/>
          <w:color w:val="000000"/>
          <w:sz w:val="22"/>
          <w:lang w:val="ka-GE"/>
        </w:rPr>
      </w:pPr>
      <w:r w:rsidRPr="00657A6F">
        <w:rPr>
          <w:rFonts w:ascii="Sylfaen" w:eastAsia="Sylfaen" w:hAnsi="Sylfaen" w:cs="Sylfaen"/>
          <w:color w:val="000000"/>
          <w:sz w:val="22"/>
          <w:lang w:val="ka-GE"/>
        </w:rPr>
        <w:lastRenderedPageBreak/>
        <w:t xml:space="preserve">ა) საქართველოში ენერგეტიკის სექტორის რეფორმის პროგრამის (IV)  ფარგლებში საფრანგეთის განვითარების სააგენტოდან (AFD) მისაღები სახსრები – 172 000.0 </w:t>
      </w:r>
      <w:r w:rsidR="00004209">
        <w:rPr>
          <w:rFonts w:ascii="Sylfaen" w:eastAsia="Sylfaen" w:hAnsi="Sylfaen" w:cs="Sylfaen"/>
          <w:color w:val="000000"/>
          <w:sz w:val="22"/>
          <w:lang w:val="ka-GE"/>
        </w:rPr>
        <w:t>ა</w:t>
      </w:r>
      <w:r w:rsidRPr="00657A6F">
        <w:rPr>
          <w:rFonts w:ascii="Sylfaen" w:eastAsia="Sylfaen" w:hAnsi="Sylfaen" w:cs="Sylfaen"/>
          <w:color w:val="000000"/>
          <w:sz w:val="22"/>
          <w:lang w:val="ka-GE"/>
        </w:rPr>
        <w:t xml:space="preserve">თასი ლარის ოდენობით; </w:t>
      </w:r>
    </w:p>
    <w:p w:rsidR="00071A46" w:rsidRPr="00657A6F" w:rsidRDefault="00071A46" w:rsidP="00835890">
      <w:pPr>
        <w:pStyle w:val="Normal22"/>
        <w:spacing w:after="0" w:line="240" w:lineRule="auto"/>
        <w:ind w:left="1698" w:firstLine="450"/>
        <w:jc w:val="both"/>
        <w:rPr>
          <w:rFonts w:ascii="Sylfaen" w:eastAsia="Sylfaen" w:hAnsi="Sylfaen" w:cs="Sylfaen"/>
          <w:color w:val="000000"/>
          <w:sz w:val="22"/>
          <w:lang w:val="ka-GE"/>
        </w:rPr>
      </w:pPr>
    </w:p>
    <w:p w:rsidR="00071A46" w:rsidRPr="00657A6F" w:rsidRDefault="00071A46" w:rsidP="00835890">
      <w:pPr>
        <w:pStyle w:val="Normal22"/>
        <w:spacing w:after="0" w:line="240" w:lineRule="auto"/>
        <w:ind w:left="708"/>
        <w:jc w:val="both"/>
        <w:rPr>
          <w:rFonts w:ascii="Sylfaen" w:eastAsia="Sylfaen" w:hAnsi="Sylfaen" w:cs="Sylfaen"/>
          <w:color w:val="000000"/>
          <w:sz w:val="22"/>
          <w:lang w:val="ka-GE"/>
        </w:rPr>
      </w:pPr>
      <w:r w:rsidRPr="00657A6F">
        <w:rPr>
          <w:rFonts w:ascii="Sylfaen" w:eastAsia="Sylfaen" w:hAnsi="Sylfaen" w:cs="Sylfaen"/>
          <w:color w:val="000000"/>
          <w:sz w:val="22"/>
          <w:lang w:val="ka-GE"/>
        </w:rPr>
        <w:t>ბ) საქართველოში ენერგეტიკის სექტორის რეფორმის პროგრამის (პოლიტიკაზე დაფუძნებული სესხი-PBL IV) ფარგლებში გერმანიის რეკონსტრუქციის საკრედიტო ბანკიდან (KfW) მისაღები სახსრები – 229 000.0 ათასი ლარის ოდენობით;</w:t>
      </w:r>
    </w:p>
    <w:p w:rsidR="00071A46" w:rsidRPr="00657A6F" w:rsidRDefault="00071A46" w:rsidP="00835890">
      <w:pPr>
        <w:pStyle w:val="Normal22"/>
        <w:spacing w:after="0" w:line="240" w:lineRule="auto"/>
        <w:ind w:left="1698" w:firstLine="450"/>
        <w:jc w:val="both"/>
        <w:rPr>
          <w:rFonts w:ascii="Sylfaen" w:eastAsia="Sylfaen" w:hAnsi="Sylfaen" w:cs="Sylfaen"/>
          <w:color w:val="000000"/>
          <w:sz w:val="22"/>
          <w:lang w:val="ka-GE"/>
        </w:rPr>
      </w:pPr>
    </w:p>
    <w:p w:rsidR="00071A46" w:rsidRPr="00657A6F" w:rsidRDefault="00071A46" w:rsidP="00835890">
      <w:pPr>
        <w:pStyle w:val="Normal22"/>
        <w:spacing w:after="0" w:line="240" w:lineRule="auto"/>
        <w:ind w:left="708"/>
        <w:jc w:val="both"/>
        <w:rPr>
          <w:rFonts w:ascii="Sylfaen" w:eastAsia="Sylfaen" w:hAnsi="Sylfaen" w:cs="Sylfaen"/>
          <w:color w:val="000000"/>
          <w:sz w:val="22"/>
          <w:lang w:val="ka-GE"/>
        </w:rPr>
      </w:pPr>
      <w:r w:rsidRPr="00657A6F">
        <w:rPr>
          <w:rFonts w:ascii="Sylfaen" w:eastAsia="Sylfaen" w:hAnsi="Sylfaen" w:cs="Sylfaen"/>
          <w:color w:val="000000"/>
          <w:sz w:val="22"/>
          <w:lang w:val="ka-GE"/>
        </w:rPr>
        <w:t>გ) სექტორული განვითარების პროგრამა, თანამედროვე უნარები უკეთესი სამუშაო ადგილებისთვის ფარგლებში აზიის განვითარების ბანკიდან (ADB) მისაღები სახსრები - 162 000.0  ათასი ლარის ოდენობით;</w:t>
      </w:r>
    </w:p>
    <w:p w:rsidR="00071A46" w:rsidRPr="00657A6F" w:rsidRDefault="00071A46" w:rsidP="00835890">
      <w:pPr>
        <w:pStyle w:val="Normal22"/>
        <w:spacing w:after="0" w:line="240" w:lineRule="auto"/>
        <w:ind w:left="1698" w:firstLine="450"/>
        <w:jc w:val="both"/>
        <w:rPr>
          <w:rFonts w:ascii="Sylfaen" w:eastAsia="Sylfaen" w:hAnsi="Sylfaen" w:cs="Sylfaen"/>
          <w:color w:val="000000"/>
          <w:sz w:val="22"/>
          <w:lang w:val="ka-GE"/>
        </w:rPr>
      </w:pPr>
    </w:p>
    <w:p w:rsidR="00071A46" w:rsidRPr="00657A6F" w:rsidRDefault="00071A46" w:rsidP="00835890">
      <w:pPr>
        <w:pStyle w:val="Normal22"/>
        <w:spacing w:after="0" w:line="240" w:lineRule="auto"/>
        <w:ind w:left="708"/>
        <w:jc w:val="both"/>
        <w:rPr>
          <w:rFonts w:ascii="Sylfaen" w:eastAsia="Sylfaen" w:hAnsi="Sylfaen" w:cs="Sylfaen"/>
          <w:color w:val="000000"/>
          <w:sz w:val="22"/>
          <w:lang w:val="ka-GE"/>
        </w:rPr>
      </w:pPr>
      <w:r w:rsidRPr="00657A6F">
        <w:rPr>
          <w:rFonts w:ascii="Sylfaen" w:eastAsia="Sylfaen" w:hAnsi="Sylfaen" w:cs="Sylfaen"/>
          <w:color w:val="000000"/>
          <w:sz w:val="22"/>
          <w:lang w:val="ka-GE"/>
        </w:rPr>
        <w:t>დ) წყალმომრაგებისა და წყალარინების სექტორის მდგრადი განვითარების პროგრამის ფარგლებში აზიის განვითარების ბანკიდან (ADB) მისაღები სახსრები -  271  000.00  ათასი ლარის ოდენობით;</w:t>
      </w:r>
    </w:p>
    <w:p w:rsidR="00071A46" w:rsidRPr="00657A6F" w:rsidRDefault="00071A46" w:rsidP="00835890">
      <w:pPr>
        <w:pStyle w:val="Normal22"/>
        <w:spacing w:after="0" w:line="240" w:lineRule="auto"/>
        <w:ind w:left="1698" w:firstLine="450"/>
        <w:jc w:val="both"/>
        <w:rPr>
          <w:rFonts w:ascii="Sylfaen" w:eastAsia="Sylfaen" w:hAnsi="Sylfaen" w:cs="Sylfaen"/>
          <w:color w:val="000000"/>
          <w:sz w:val="22"/>
          <w:lang w:val="ka-GE"/>
        </w:rPr>
      </w:pPr>
    </w:p>
    <w:p w:rsidR="00071A46" w:rsidRPr="00657A6F" w:rsidRDefault="00071A46" w:rsidP="00835890">
      <w:pPr>
        <w:pStyle w:val="Normal22"/>
        <w:spacing w:after="0" w:line="240" w:lineRule="auto"/>
        <w:ind w:left="708"/>
        <w:jc w:val="both"/>
        <w:rPr>
          <w:rFonts w:ascii="Sylfaen" w:eastAsia="Sylfaen" w:hAnsi="Sylfaen" w:cs="Sylfaen"/>
          <w:color w:val="000000"/>
          <w:sz w:val="22"/>
          <w:lang w:val="ka-GE"/>
        </w:rPr>
      </w:pPr>
      <w:r w:rsidRPr="00657A6F">
        <w:rPr>
          <w:rFonts w:ascii="Sylfaen" w:eastAsia="Sylfaen" w:hAnsi="Sylfaen" w:cs="Sylfaen"/>
          <w:color w:val="000000"/>
          <w:sz w:val="22"/>
          <w:lang w:val="ka-GE"/>
        </w:rPr>
        <w:t>ე) მაკროფინანსური დახმარების (MFA) IV პროგრამის  ფარგლებში ევროკავშირიდან (EU) მისაღები სახსრები – 286 000.0 ათასი ლარის ოდენობით;</w:t>
      </w:r>
    </w:p>
    <w:p w:rsidR="00071A46" w:rsidRPr="00657A6F" w:rsidRDefault="00071A46" w:rsidP="00835890">
      <w:pPr>
        <w:pStyle w:val="Normal22"/>
        <w:spacing w:after="0" w:line="240" w:lineRule="auto"/>
        <w:ind w:left="1698" w:firstLine="450"/>
        <w:jc w:val="both"/>
        <w:rPr>
          <w:rFonts w:ascii="Sylfaen" w:eastAsia="Sylfaen" w:hAnsi="Sylfaen" w:cs="Sylfaen"/>
          <w:color w:val="000000"/>
          <w:sz w:val="22"/>
          <w:lang w:val="ka-GE"/>
        </w:rPr>
      </w:pPr>
    </w:p>
    <w:p w:rsidR="00071A46" w:rsidRPr="00657A6F" w:rsidRDefault="00071A46" w:rsidP="00835890">
      <w:pPr>
        <w:pStyle w:val="Normal22"/>
        <w:spacing w:after="0" w:line="240" w:lineRule="auto"/>
        <w:ind w:left="708"/>
        <w:jc w:val="both"/>
        <w:rPr>
          <w:rFonts w:ascii="Sylfaen" w:eastAsia="Sylfaen" w:hAnsi="Sylfaen" w:cs="Sylfaen"/>
          <w:color w:val="000000"/>
          <w:sz w:val="22"/>
          <w:lang w:val="ka-GE"/>
        </w:rPr>
      </w:pPr>
      <w:r w:rsidRPr="00657A6F">
        <w:rPr>
          <w:rFonts w:ascii="Sylfaen" w:eastAsia="Sylfaen" w:hAnsi="Sylfaen" w:cs="Sylfaen"/>
          <w:color w:val="000000"/>
          <w:sz w:val="22"/>
          <w:lang w:val="ka-GE"/>
        </w:rPr>
        <w:t xml:space="preserve">ვ) ფისკალური მდგრადობის და სოციალური დაცვის პროგრამის ფარგლებში აზიის განვითარების ბანკიდან (ADB) მისაღები სახსრები - 663  000.00  ათასი ლარის ოდენობით;   </w:t>
      </w:r>
    </w:p>
    <w:p w:rsidR="00071A46" w:rsidRPr="00657A6F" w:rsidRDefault="00071A46" w:rsidP="00835890">
      <w:pPr>
        <w:pStyle w:val="Normal22"/>
        <w:spacing w:after="0" w:line="240" w:lineRule="auto"/>
        <w:ind w:left="1698" w:firstLine="450"/>
        <w:jc w:val="both"/>
        <w:rPr>
          <w:rFonts w:ascii="Sylfaen" w:eastAsia="Sylfaen" w:hAnsi="Sylfaen" w:cs="Sylfaen"/>
          <w:color w:val="000000"/>
          <w:sz w:val="22"/>
          <w:lang w:val="ka-GE"/>
        </w:rPr>
      </w:pPr>
    </w:p>
    <w:p w:rsidR="00071A46" w:rsidRPr="00657A6F" w:rsidRDefault="00071A46" w:rsidP="00835890">
      <w:pPr>
        <w:pStyle w:val="Normal22"/>
        <w:spacing w:after="0" w:line="240" w:lineRule="auto"/>
        <w:ind w:left="708"/>
        <w:jc w:val="both"/>
        <w:rPr>
          <w:rFonts w:ascii="Sylfaen" w:eastAsia="Sylfaen" w:hAnsi="Sylfaen" w:cs="Sylfaen"/>
          <w:color w:val="000000"/>
          <w:sz w:val="22"/>
          <w:lang w:val="ka-GE"/>
        </w:rPr>
      </w:pPr>
      <w:r w:rsidRPr="00657A6F">
        <w:rPr>
          <w:rFonts w:ascii="Sylfaen" w:eastAsia="Sylfaen" w:hAnsi="Sylfaen" w:cs="Sylfaen"/>
          <w:color w:val="000000"/>
          <w:sz w:val="22"/>
          <w:lang w:val="ka-GE"/>
        </w:rPr>
        <w:t>ზ) COVID-19 პანდემიის კონტექსტში სოციალური უსაფრთხოების პროგრამის ფარგლებში გერმანიის რეკონსტრუქციის საკრედიტო ბანკიდან (KfW) მისაღები სახსრები – 57 000.0 ათასი ლარის ოდენობით;</w:t>
      </w:r>
    </w:p>
    <w:p w:rsidR="00071A46" w:rsidRPr="00657A6F" w:rsidRDefault="00071A46" w:rsidP="00835890">
      <w:pPr>
        <w:pStyle w:val="Normal22"/>
        <w:spacing w:after="0" w:line="240" w:lineRule="auto"/>
        <w:ind w:left="1698" w:firstLine="450"/>
        <w:jc w:val="both"/>
        <w:rPr>
          <w:rFonts w:ascii="Sylfaen" w:eastAsia="Sylfaen" w:hAnsi="Sylfaen" w:cs="Sylfaen"/>
          <w:color w:val="000000"/>
          <w:sz w:val="22"/>
          <w:lang w:val="ka-GE"/>
        </w:rPr>
      </w:pPr>
    </w:p>
    <w:p w:rsidR="00071A46" w:rsidRDefault="00071A46" w:rsidP="00835890">
      <w:pPr>
        <w:pStyle w:val="Normal22"/>
        <w:spacing w:after="0" w:line="240" w:lineRule="auto"/>
        <w:ind w:left="708"/>
        <w:jc w:val="both"/>
        <w:rPr>
          <w:rFonts w:ascii="Sylfaen" w:eastAsia="Sylfaen" w:hAnsi="Sylfaen" w:cs="Sylfaen"/>
          <w:color w:val="000000"/>
          <w:sz w:val="22"/>
          <w:lang w:val="ka-GE"/>
        </w:rPr>
      </w:pPr>
      <w:r w:rsidRPr="00657A6F">
        <w:rPr>
          <w:rFonts w:ascii="Sylfaen" w:eastAsia="Sylfaen" w:hAnsi="Sylfaen" w:cs="Sylfaen"/>
          <w:color w:val="000000"/>
          <w:sz w:val="22"/>
          <w:lang w:val="ka-GE"/>
        </w:rPr>
        <w:t>თ) სსე-ს კორპორატიზაციისა და ენერგობაზრის რეფორმების პროგრამის ფარგლებში  აზიის განვითარების ბანკიდან (ADB) მისაღები სახსრები -    331  000.00  ათასი ლარის ოდენობით</w:t>
      </w:r>
      <w:r w:rsidR="00657A6F" w:rsidRPr="00657A6F">
        <w:rPr>
          <w:rFonts w:ascii="Sylfaen" w:eastAsia="Sylfaen" w:hAnsi="Sylfaen" w:cs="Sylfaen"/>
          <w:color w:val="000000"/>
          <w:sz w:val="22"/>
          <w:lang w:val="ka-GE"/>
        </w:rPr>
        <w:t>.</w:t>
      </w:r>
    </w:p>
    <w:p w:rsidR="002D596E" w:rsidRDefault="002D596E" w:rsidP="002D596E">
      <w:pPr>
        <w:pStyle w:val="ListParagraph"/>
        <w:rPr>
          <w:rFonts w:ascii="Sylfaen" w:eastAsia="Sylfaen" w:hAnsi="Sylfaen" w:cs="Sylfaen"/>
          <w:color w:val="000000"/>
          <w:lang w:val="ka-GE"/>
        </w:rPr>
      </w:pPr>
    </w:p>
    <w:p w:rsidR="002D596E" w:rsidRPr="00792911" w:rsidRDefault="002D596E" w:rsidP="00792911">
      <w:pPr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792911">
        <w:rPr>
          <w:rFonts w:ascii="Sylfaen" w:hAnsi="Sylfaen" w:cs="Sylfaen"/>
          <w:szCs w:val="21"/>
          <w:shd w:val="clear" w:color="auto" w:fill="FFFFFF"/>
          <w:lang w:val="ka-GE"/>
        </w:rPr>
        <w:t>2021 წლის სახელმწიფო ბიუჯეტის პროექტი ასევე ითვალისწინებს 2021 წელს დასაფარი სუვერენული ევრობონდის რეფინა</w:t>
      </w:r>
      <w:r w:rsidR="00BD1F4C">
        <w:rPr>
          <w:rFonts w:ascii="Sylfaen" w:hAnsi="Sylfaen" w:cs="Sylfaen"/>
          <w:szCs w:val="21"/>
          <w:shd w:val="clear" w:color="auto" w:fill="FFFFFF"/>
          <w:lang w:val="ka-GE"/>
        </w:rPr>
        <w:t>ნ</w:t>
      </w:r>
      <w:r w:rsidRPr="00792911">
        <w:rPr>
          <w:rFonts w:ascii="Sylfaen" w:hAnsi="Sylfaen" w:cs="Sylfaen"/>
          <w:szCs w:val="21"/>
          <w:shd w:val="clear" w:color="auto" w:fill="FFFFFF"/>
          <w:lang w:val="ka-GE"/>
        </w:rPr>
        <w:t>სირებისთვის 1 656 850</w:t>
      </w:r>
      <w:r w:rsidR="00012CCB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Pr="00792911">
        <w:rPr>
          <w:rFonts w:ascii="Sylfaen" w:hAnsi="Sylfaen" w:cs="Sylfaen"/>
          <w:szCs w:val="21"/>
          <w:shd w:val="clear" w:color="auto" w:fill="FFFFFF"/>
          <w:lang w:val="ka-GE"/>
        </w:rPr>
        <w:t xml:space="preserve">00 </w:t>
      </w:r>
      <w:r w:rsidR="00792911">
        <w:rPr>
          <w:rFonts w:ascii="Sylfaen" w:hAnsi="Sylfaen" w:cs="Sylfaen"/>
          <w:szCs w:val="21"/>
          <w:shd w:val="clear" w:color="auto" w:fill="FFFFFF"/>
          <w:lang w:val="ka-GE"/>
        </w:rPr>
        <w:t xml:space="preserve">ათასი ლარის მოცულობის ახალი ევრობონდის გამოშვებას. </w:t>
      </w:r>
    </w:p>
    <w:p w:rsidR="00C0485E" w:rsidRDefault="000A05E4" w:rsidP="00C0485E">
      <w:pPr>
        <w:ind w:firstLine="720"/>
        <w:jc w:val="both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B73E97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 საგარეო ვალდებულებების მომსახურებისა და დაფარვისათვის საქართველოს 202</w:t>
      </w:r>
      <w:r w:rsidR="009333B0" w:rsidRPr="00B73E97">
        <w:rPr>
          <w:rFonts w:ascii="Sylfaen" w:hAnsi="Sylfaen" w:cs="Sylfaen"/>
          <w:szCs w:val="21"/>
          <w:shd w:val="clear" w:color="auto" w:fill="FFFFFF"/>
        </w:rPr>
        <w:t>1</w:t>
      </w:r>
      <w:r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სახელმწიფო ბიუჯეტის პროექტით გათვალისწინებულია</w:t>
      </w:r>
      <w:r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5C33E2">
        <w:rPr>
          <w:rFonts w:ascii="Sylfaen" w:hAnsi="Sylfaen" w:cs="Sylfaen"/>
          <w:szCs w:val="21"/>
          <w:shd w:val="clear" w:color="auto" w:fill="FFFFFF"/>
        </w:rPr>
        <w:t>3</w:t>
      </w:r>
      <w:r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5C33E2">
        <w:rPr>
          <w:rFonts w:ascii="Sylfaen" w:hAnsi="Sylfaen" w:cs="Sylfaen"/>
          <w:szCs w:val="21"/>
          <w:shd w:val="clear" w:color="auto" w:fill="FFFFFF"/>
        </w:rPr>
        <w:t>148</w:t>
      </w:r>
      <w:r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483895" w:rsidRPr="00B73E97">
        <w:rPr>
          <w:rFonts w:ascii="Sylfaen" w:hAnsi="Sylfaen" w:cs="Sylfaen"/>
          <w:szCs w:val="21"/>
          <w:shd w:val="clear" w:color="auto" w:fill="FFFFFF"/>
        </w:rPr>
        <w:t>0</w:t>
      </w:r>
      <w:r w:rsidRPr="00B73E97">
        <w:rPr>
          <w:rFonts w:ascii="Sylfaen" w:hAnsi="Sylfaen" w:cs="Sylfaen"/>
          <w:szCs w:val="21"/>
          <w:shd w:val="clear" w:color="auto" w:fill="FFFFFF"/>
        </w:rPr>
        <w:t>00</w:t>
      </w:r>
      <w:r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ათასი ლარი, საიდანაც </w:t>
      </w:r>
      <w:r w:rsidR="009333B0" w:rsidRPr="00B73E97">
        <w:rPr>
          <w:rFonts w:ascii="Sylfaen" w:hAnsi="Sylfaen" w:cs="Sylfaen"/>
          <w:szCs w:val="21"/>
          <w:shd w:val="clear" w:color="auto" w:fill="FFFFFF"/>
        </w:rPr>
        <w:t xml:space="preserve">2 </w:t>
      </w:r>
      <w:r w:rsidR="005C33E2">
        <w:rPr>
          <w:rFonts w:ascii="Sylfaen" w:hAnsi="Sylfaen" w:cs="Sylfaen"/>
          <w:szCs w:val="21"/>
          <w:shd w:val="clear" w:color="auto" w:fill="FFFFFF"/>
        </w:rPr>
        <w:t>76</w:t>
      </w:r>
      <w:r w:rsidR="009333B0" w:rsidRPr="00B73E97">
        <w:rPr>
          <w:rFonts w:ascii="Sylfaen" w:hAnsi="Sylfaen" w:cs="Sylfaen"/>
          <w:szCs w:val="21"/>
          <w:shd w:val="clear" w:color="auto" w:fill="FFFFFF"/>
        </w:rPr>
        <w:t>0</w:t>
      </w:r>
      <w:r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483895" w:rsidRPr="00B73E97">
        <w:rPr>
          <w:rFonts w:ascii="Sylfaen" w:hAnsi="Sylfaen" w:cs="Sylfaen"/>
          <w:szCs w:val="21"/>
          <w:shd w:val="clear" w:color="auto" w:fill="FFFFFF"/>
        </w:rPr>
        <w:t>0</w:t>
      </w:r>
      <w:r w:rsidRPr="00B73E97">
        <w:rPr>
          <w:rFonts w:ascii="Sylfaen" w:hAnsi="Sylfaen" w:cs="Sylfaen"/>
          <w:szCs w:val="21"/>
          <w:shd w:val="clear" w:color="auto" w:fill="FFFFFF"/>
        </w:rPr>
        <w:t>00</w:t>
      </w:r>
      <w:r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ათასი ლარი წარმოადგენს ძირითადი თანხის დაფარვას, ხოლო </w:t>
      </w:r>
      <w:r w:rsidRPr="00B73E97">
        <w:rPr>
          <w:rFonts w:ascii="Sylfaen" w:hAnsi="Sylfaen" w:cs="Sylfaen"/>
          <w:szCs w:val="21"/>
          <w:shd w:val="clear" w:color="auto" w:fill="FFFFFF"/>
        </w:rPr>
        <w:t>3</w:t>
      </w:r>
      <w:r w:rsidR="005C33E2">
        <w:rPr>
          <w:rFonts w:ascii="Sylfaen" w:hAnsi="Sylfaen" w:cs="Sylfaen"/>
          <w:szCs w:val="21"/>
          <w:shd w:val="clear" w:color="auto" w:fill="FFFFFF"/>
        </w:rPr>
        <w:t>88</w:t>
      </w:r>
      <w:r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483895" w:rsidRPr="00B73E97">
        <w:rPr>
          <w:rFonts w:ascii="Sylfaen" w:hAnsi="Sylfaen" w:cs="Sylfaen"/>
          <w:szCs w:val="21"/>
          <w:shd w:val="clear" w:color="auto" w:fill="FFFFFF"/>
        </w:rPr>
        <w:t>0</w:t>
      </w:r>
      <w:r w:rsidRPr="00B73E97">
        <w:rPr>
          <w:rFonts w:ascii="Sylfaen" w:hAnsi="Sylfaen" w:cs="Sylfaen"/>
          <w:szCs w:val="21"/>
          <w:shd w:val="clear" w:color="auto" w:fill="FFFFFF"/>
        </w:rPr>
        <w:t>00</w:t>
      </w:r>
      <w:r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ათასი ლარი - პროცენტის თანხას.</w:t>
      </w:r>
    </w:p>
    <w:p w:rsidR="00A67E3A" w:rsidRPr="00C0485E" w:rsidRDefault="00A67E3A" w:rsidP="00C0485E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B73E97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საგარეო ვალდებულებების მომსახურება და დაფარვა </w:t>
      </w:r>
      <w:r w:rsidRPr="00B73E97">
        <w:rPr>
          <w:rFonts w:ascii="Sylfaen" w:hAnsi="Sylfaen"/>
          <w:b/>
          <w:sz w:val="20"/>
          <w:szCs w:val="20"/>
          <w:lang w:val="ka-GE"/>
        </w:rPr>
        <w:t>202</w:t>
      </w:r>
      <w:r w:rsidR="006D20E2" w:rsidRPr="00B73E97">
        <w:rPr>
          <w:rFonts w:ascii="Sylfaen" w:hAnsi="Sylfaen"/>
          <w:b/>
          <w:sz w:val="20"/>
          <w:szCs w:val="20"/>
        </w:rPr>
        <w:t xml:space="preserve">1 </w:t>
      </w:r>
      <w:r w:rsidRPr="00B73E97">
        <w:rPr>
          <w:rFonts w:ascii="Sylfaen" w:hAnsi="Sylfaen"/>
          <w:b/>
          <w:sz w:val="20"/>
          <w:szCs w:val="20"/>
          <w:lang w:val="ka-GE"/>
        </w:rPr>
        <w:t>წლისთვის (პროგნოზი)</w:t>
      </w:r>
    </w:p>
    <w:p w:rsidR="00FB01F8" w:rsidRPr="00B73E97" w:rsidRDefault="00FB01F8" w:rsidP="00C0485E">
      <w:pPr>
        <w:tabs>
          <w:tab w:val="left" w:pos="0"/>
        </w:tabs>
        <w:spacing w:after="0" w:line="240" w:lineRule="auto"/>
        <w:ind w:right="1350"/>
        <w:jc w:val="right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  <w:r w:rsidRPr="00B73E97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>ათასი ლარი</w:t>
      </w:r>
    </w:p>
    <w:tbl>
      <w:tblPr>
        <w:tblW w:w="6860" w:type="dxa"/>
        <w:jc w:val="center"/>
        <w:tblLook w:val="04A0" w:firstRow="1" w:lastRow="0" w:firstColumn="1" w:lastColumn="0" w:noHBand="0" w:noVBand="1"/>
      </w:tblPr>
      <w:tblGrid>
        <w:gridCol w:w="2061"/>
        <w:gridCol w:w="1626"/>
        <w:gridCol w:w="1652"/>
        <w:gridCol w:w="1521"/>
      </w:tblGrid>
      <w:tr w:rsidR="006D20E2" w:rsidRPr="0014025D" w:rsidTr="00C0485E">
        <w:trPr>
          <w:trHeight w:hRule="exact" w:val="274"/>
          <w:tblHeader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BC2E6"/>
            </w:tcBorders>
            <w:shd w:val="clear" w:color="auto" w:fill="auto"/>
            <w:vAlign w:val="center"/>
            <w:hideMark/>
          </w:tcPr>
          <w:p w:rsidR="006D20E2" w:rsidRPr="0014025D" w:rsidRDefault="006D20E2" w:rsidP="006D2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4025D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კრედიტორები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BC2E6"/>
            </w:tcBorders>
            <w:shd w:val="clear" w:color="auto" w:fill="auto"/>
            <w:vAlign w:val="center"/>
            <w:hideMark/>
          </w:tcPr>
          <w:p w:rsidR="006D20E2" w:rsidRPr="0014025D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4025D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ვალების</w:t>
            </w:r>
            <w:proofErr w:type="spellEnd"/>
            <w:r w:rsidRPr="001402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025D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დაფარვა</w:t>
            </w:r>
            <w:proofErr w:type="spellEnd"/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BC2E6"/>
            </w:tcBorders>
            <w:shd w:val="clear" w:color="auto" w:fill="auto"/>
            <w:vAlign w:val="center"/>
            <w:hideMark/>
          </w:tcPr>
          <w:p w:rsidR="006D20E2" w:rsidRPr="0014025D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4025D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პროცენტი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E2" w:rsidRPr="0014025D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4025D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სულ</w:t>
            </w:r>
            <w:proofErr w:type="spellEnd"/>
            <w:r w:rsidRPr="001402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2021</w:t>
            </w:r>
          </w:p>
        </w:tc>
      </w:tr>
      <w:tr w:rsidR="00255F02" w:rsidRPr="005C33E2" w:rsidTr="00255F02">
        <w:trPr>
          <w:trHeight w:hRule="exact" w:val="274"/>
          <w:jc w:val="center"/>
        </w:trPr>
        <w:tc>
          <w:tcPr>
            <w:tcW w:w="2061" w:type="dxa"/>
            <w:tcBorders>
              <w:top w:val="single" w:sz="4" w:space="0" w:color="auto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025D">
              <w:rPr>
                <w:rFonts w:ascii="Calibri" w:hAnsi="Calibri" w:cs="Calibri"/>
                <w:sz w:val="18"/>
                <w:szCs w:val="18"/>
              </w:rPr>
              <w:t>ავსტრია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4,500.0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    600.0 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5,100.0 </w:t>
            </w:r>
          </w:p>
        </w:tc>
      </w:tr>
      <w:tr w:rsidR="00255F02" w:rsidRPr="005C33E2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025D">
              <w:rPr>
                <w:rFonts w:ascii="Calibri" w:hAnsi="Calibri" w:cs="Calibri"/>
                <w:sz w:val="18"/>
                <w:szCs w:val="18"/>
              </w:rPr>
              <w:t>კუვეიტი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2,900.0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1,800.0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4,700.0 </w:t>
            </w:r>
          </w:p>
        </w:tc>
      </w:tr>
      <w:tr w:rsidR="00255F02" w:rsidRPr="005C33E2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025D">
              <w:rPr>
                <w:rFonts w:ascii="Calibri" w:hAnsi="Calibri" w:cs="Calibri"/>
                <w:sz w:val="18"/>
                <w:szCs w:val="18"/>
              </w:rPr>
              <w:t>იაპონია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27,900.0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5,900.0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33,800.0 </w:t>
            </w:r>
          </w:p>
        </w:tc>
      </w:tr>
      <w:tr w:rsidR="00255F02" w:rsidRPr="005C33E2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025D">
              <w:rPr>
                <w:rFonts w:ascii="Calibri" w:hAnsi="Calibri" w:cs="Calibri"/>
                <w:sz w:val="18"/>
                <w:szCs w:val="18"/>
              </w:rPr>
              <w:t>გერმანია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98,000.0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35,100.0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133,100.0 </w:t>
            </w:r>
          </w:p>
        </w:tc>
      </w:tr>
      <w:tr w:rsidR="00255F02" w:rsidRPr="005C33E2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025D">
              <w:rPr>
                <w:rFonts w:ascii="Calibri" w:hAnsi="Calibri" w:cs="Calibri"/>
                <w:sz w:val="18"/>
                <w:szCs w:val="18"/>
              </w:rPr>
              <w:t>აშშ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7,800.0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1,200.0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9,000.0 </w:t>
            </w:r>
          </w:p>
        </w:tc>
      </w:tr>
      <w:tr w:rsidR="00255F02" w:rsidRPr="005C33E2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025D">
              <w:rPr>
                <w:rFonts w:ascii="Calibri" w:hAnsi="Calibri" w:cs="Calibri"/>
                <w:sz w:val="18"/>
                <w:szCs w:val="18"/>
              </w:rPr>
              <w:t>სომხეთი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5,900.0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    600.0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6,500.0 </w:t>
            </w:r>
          </w:p>
        </w:tc>
      </w:tr>
      <w:tr w:rsidR="00255F02" w:rsidRPr="005C33E2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025D">
              <w:rPr>
                <w:rFonts w:ascii="Calibri" w:hAnsi="Calibri" w:cs="Calibri"/>
                <w:sz w:val="18"/>
                <w:szCs w:val="18"/>
              </w:rPr>
              <w:t>აზერბაიჯანი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4,300.0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    600.0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4,900.0 </w:t>
            </w:r>
          </w:p>
        </w:tc>
      </w:tr>
      <w:tr w:rsidR="00255F02" w:rsidRPr="005C33E2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025D">
              <w:rPr>
                <w:rFonts w:ascii="Calibri" w:hAnsi="Calibri" w:cs="Calibri"/>
                <w:sz w:val="18"/>
                <w:szCs w:val="18"/>
              </w:rPr>
              <w:t>ირანი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3,500.0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    400.0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3,900.0 </w:t>
            </w:r>
          </w:p>
        </w:tc>
      </w:tr>
      <w:tr w:rsidR="00255F02" w:rsidRPr="005C33E2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025D">
              <w:rPr>
                <w:rFonts w:ascii="Calibri" w:hAnsi="Calibri" w:cs="Calibri"/>
                <w:sz w:val="18"/>
                <w:szCs w:val="18"/>
              </w:rPr>
              <w:t>ყაზახეთი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14,000.0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6,600.0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20,600.0 </w:t>
            </w:r>
          </w:p>
        </w:tc>
      </w:tr>
      <w:tr w:rsidR="00255F02" w:rsidRPr="005C33E2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025D">
              <w:rPr>
                <w:rFonts w:ascii="Calibri" w:hAnsi="Calibri" w:cs="Calibri"/>
                <w:sz w:val="18"/>
                <w:szCs w:val="18"/>
              </w:rPr>
              <w:t>ნიდერლანდები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    900.0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    100.0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1,000.0 </w:t>
            </w:r>
          </w:p>
        </w:tc>
      </w:tr>
      <w:tr w:rsidR="00255F02" w:rsidRPr="005C33E2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025D">
              <w:rPr>
                <w:rFonts w:ascii="Calibri" w:hAnsi="Calibri" w:cs="Calibri"/>
                <w:sz w:val="18"/>
                <w:szCs w:val="18"/>
              </w:rPr>
              <w:t>რუსეთი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39,300.0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5,100.0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44,400.0 </w:t>
            </w:r>
          </w:p>
        </w:tc>
      </w:tr>
      <w:tr w:rsidR="00255F02" w:rsidRPr="005C33E2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025D">
              <w:rPr>
                <w:rFonts w:ascii="Calibri" w:hAnsi="Calibri" w:cs="Calibri"/>
                <w:sz w:val="18"/>
                <w:szCs w:val="18"/>
              </w:rPr>
              <w:lastRenderedPageBreak/>
              <w:t>თურქეთი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8,200.0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1,100.0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9,300.0 </w:t>
            </w:r>
          </w:p>
        </w:tc>
      </w:tr>
      <w:tr w:rsidR="00255F02" w:rsidRPr="005C33E2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025D">
              <w:rPr>
                <w:rFonts w:ascii="Calibri" w:hAnsi="Calibri" w:cs="Calibri"/>
                <w:sz w:val="18"/>
                <w:szCs w:val="18"/>
              </w:rPr>
              <w:t>თურქმენეთი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           -  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13,200.0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13,200.0 </w:t>
            </w:r>
          </w:p>
        </w:tc>
      </w:tr>
      <w:tr w:rsidR="00255F02" w:rsidRPr="005C33E2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025D">
              <w:rPr>
                <w:rFonts w:ascii="Calibri" w:hAnsi="Calibri" w:cs="Calibri"/>
                <w:sz w:val="18"/>
                <w:szCs w:val="18"/>
              </w:rPr>
              <w:t>უკრაინა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    200.0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         4.0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  204.0 </w:t>
            </w:r>
          </w:p>
        </w:tc>
      </w:tr>
      <w:tr w:rsidR="00255F02" w:rsidRPr="005C33E2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025D">
              <w:rPr>
                <w:rFonts w:ascii="Calibri" w:hAnsi="Calibri" w:cs="Calibri"/>
                <w:sz w:val="18"/>
                <w:szCs w:val="18"/>
              </w:rPr>
              <w:t>უზბეკეთი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    200.0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         4.0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  204.0 </w:t>
            </w:r>
          </w:p>
        </w:tc>
      </w:tr>
      <w:tr w:rsidR="00255F02" w:rsidRPr="005C33E2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025D">
              <w:rPr>
                <w:rFonts w:ascii="Calibri" w:hAnsi="Calibri" w:cs="Calibri"/>
                <w:sz w:val="18"/>
                <w:szCs w:val="18"/>
              </w:rPr>
              <w:t>საფრანგეთი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74,200.0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10,300.0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84,500.0 </w:t>
            </w:r>
          </w:p>
        </w:tc>
      </w:tr>
      <w:tr w:rsidR="00255F02" w:rsidRPr="005C33E2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025D">
              <w:rPr>
                <w:rFonts w:ascii="Calibri" w:hAnsi="Calibri" w:cs="Calibri"/>
                <w:sz w:val="18"/>
                <w:szCs w:val="18"/>
              </w:rPr>
              <w:t>ჩინეთი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1,500.0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           - 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1,500.0 </w:t>
            </w:r>
          </w:p>
        </w:tc>
      </w:tr>
      <w:tr w:rsidR="00255F02" w:rsidRPr="005C33E2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r w:rsidRPr="0014025D">
              <w:rPr>
                <w:rFonts w:ascii="Calibri" w:hAnsi="Calibri" w:cs="Calibri"/>
                <w:sz w:val="18"/>
                <w:szCs w:val="18"/>
              </w:rPr>
              <w:t>IDA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331,800.0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32,600.0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364,400.0 </w:t>
            </w:r>
          </w:p>
        </w:tc>
      </w:tr>
      <w:tr w:rsidR="00255F02" w:rsidRPr="005C33E2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:rsidR="00255F02" w:rsidRPr="0014025D" w:rsidRDefault="00071A46" w:rsidP="00255F0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55F02" w:rsidRPr="0014025D">
              <w:rPr>
                <w:rFonts w:ascii="Calibri" w:hAnsi="Calibri" w:cs="Calibri"/>
                <w:sz w:val="18"/>
                <w:szCs w:val="18"/>
              </w:rPr>
              <w:t>IBRD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43,700.0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77,100.0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120,800.0 </w:t>
            </w:r>
          </w:p>
        </w:tc>
      </w:tr>
      <w:tr w:rsidR="00255F02" w:rsidRPr="005C33E2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r w:rsidRPr="0014025D">
              <w:rPr>
                <w:rFonts w:ascii="Calibri" w:hAnsi="Calibri" w:cs="Calibri"/>
                <w:sz w:val="18"/>
                <w:szCs w:val="18"/>
              </w:rPr>
              <w:t>IFAD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5,800.0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1,500.0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7,300.0 </w:t>
            </w:r>
          </w:p>
        </w:tc>
      </w:tr>
      <w:tr w:rsidR="00255F02" w:rsidRPr="005C33E2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r w:rsidRPr="0014025D">
              <w:rPr>
                <w:rFonts w:ascii="Calibri" w:hAnsi="Calibri" w:cs="Calibri"/>
                <w:sz w:val="18"/>
                <w:szCs w:val="18"/>
              </w:rPr>
              <w:t>EBRD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68,200.0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13,200.0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81,400.0 </w:t>
            </w:r>
          </w:p>
        </w:tc>
      </w:tr>
      <w:tr w:rsidR="00255F02" w:rsidRPr="005C33E2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r w:rsidRPr="0014025D">
              <w:rPr>
                <w:rFonts w:ascii="Calibri" w:hAnsi="Calibri" w:cs="Calibri"/>
                <w:sz w:val="18"/>
                <w:szCs w:val="18"/>
              </w:rPr>
              <w:t>EIB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37,800.0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11,900.0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49,700.0 </w:t>
            </w:r>
          </w:p>
        </w:tc>
      </w:tr>
      <w:tr w:rsidR="00255F02" w:rsidRPr="005C33E2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r w:rsidRPr="0014025D">
              <w:rPr>
                <w:rFonts w:ascii="Calibri" w:hAnsi="Calibri" w:cs="Calibri"/>
                <w:sz w:val="18"/>
                <w:szCs w:val="18"/>
              </w:rPr>
              <w:t>ADB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311,300.0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68,300.0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379,600.0 </w:t>
            </w:r>
          </w:p>
        </w:tc>
      </w:tr>
      <w:tr w:rsidR="00255F02" w:rsidRPr="005C33E2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r w:rsidRPr="0014025D">
              <w:rPr>
                <w:rFonts w:ascii="Calibri" w:hAnsi="Calibri" w:cs="Calibri"/>
                <w:sz w:val="18"/>
                <w:szCs w:val="18"/>
              </w:rPr>
              <w:t>IMF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           -  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7,300.0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7,300.0 </w:t>
            </w:r>
          </w:p>
        </w:tc>
      </w:tr>
      <w:tr w:rsidR="00255F02" w:rsidRPr="005C33E2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r w:rsidRPr="0014025D">
              <w:rPr>
                <w:rFonts w:ascii="Calibri" w:hAnsi="Calibri" w:cs="Calibri"/>
                <w:sz w:val="18"/>
                <w:szCs w:val="18"/>
              </w:rPr>
              <w:t>EU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           -  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1,900.0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1,900.0 </w:t>
            </w:r>
          </w:p>
        </w:tc>
      </w:tr>
      <w:tr w:rsidR="00255F02" w:rsidRPr="005C33E2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r w:rsidRPr="0014025D">
              <w:rPr>
                <w:rFonts w:ascii="Calibri" w:hAnsi="Calibri" w:cs="Calibri"/>
                <w:sz w:val="18"/>
                <w:szCs w:val="18"/>
              </w:rPr>
              <w:t>CEB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           -  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    100.0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  100.0 </w:t>
            </w:r>
          </w:p>
        </w:tc>
      </w:tr>
      <w:tr w:rsidR="00255F02" w:rsidRPr="005C33E2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r w:rsidRPr="0014025D">
              <w:rPr>
                <w:rFonts w:ascii="Calibri" w:hAnsi="Calibri" w:cs="Calibri"/>
                <w:sz w:val="18"/>
                <w:szCs w:val="18"/>
              </w:rPr>
              <w:t>AIIB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           -  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2,400.0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2,400.0 </w:t>
            </w:r>
          </w:p>
        </w:tc>
      </w:tr>
      <w:tr w:rsidR="00255F02" w:rsidRPr="005C33E2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r w:rsidRPr="0014025D">
              <w:rPr>
                <w:rFonts w:ascii="Calibri" w:hAnsi="Calibri" w:cs="Calibri"/>
                <w:sz w:val="18"/>
                <w:szCs w:val="18"/>
              </w:rPr>
              <w:t>NEFCO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    500.0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    100.0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  600.0 </w:t>
            </w:r>
          </w:p>
        </w:tc>
      </w:tr>
      <w:tr w:rsidR="00255F02" w:rsidRPr="005C33E2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025D">
              <w:rPr>
                <w:rFonts w:ascii="Calibri" w:hAnsi="Calibri" w:cs="Calibri"/>
                <w:sz w:val="18"/>
                <w:szCs w:val="18"/>
              </w:rPr>
              <w:t>ევრობონდები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1,667,600.0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88,992.0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1,756,592.0 </w:t>
            </w:r>
          </w:p>
        </w:tc>
      </w:tr>
      <w:tr w:rsidR="00255F02" w:rsidRPr="00B73E97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:rsidR="00255F02" w:rsidRPr="0014025D" w:rsidRDefault="00255F02" w:rsidP="00255F0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14025D">
              <w:rPr>
                <w:rFonts w:ascii="Calibri" w:hAnsi="Calibri" w:cs="Calibri"/>
                <w:b/>
                <w:bCs/>
                <w:sz w:val="18"/>
                <w:szCs w:val="18"/>
              </w:rPr>
              <w:t>სულ</w:t>
            </w:r>
            <w:proofErr w:type="spellEnd"/>
            <w:r w:rsidRPr="0014025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55F0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         2,760,000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BDD7EE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55F0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            388,000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F02" w:rsidRPr="00255F02" w:rsidRDefault="00255F02" w:rsidP="00255F0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55F0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       3,148,000 </w:t>
            </w:r>
          </w:p>
        </w:tc>
      </w:tr>
    </w:tbl>
    <w:p w:rsidR="006F461C" w:rsidRPr="00B73E97" w:rsidRDefault="006F461C" w:rsidP="00FB01F8">
      <w:pPr>
        <w:tabs>
          <w:tab w:val="left" w:pos="0"/>
        </w:tabs>
        <w:spacing w:after="0" w:line="240" w:lineRule="auto"/>
        <w:ind w:right="173" w:firstLine="720"/>
        <w:jc w:val="right"/>
        <w:rPr>
          <w:rFonts w:ascii="Sylfaen" w:hAnsi="Sylfaen"/>
          <w:i/>
          <w:noProof/>
          <w:color w:val="000000"/>
          <w:sz w:val="18"/>
          <w:szCs w:val="18"/>
          <w:lang w:val="ka-GE"/>
        </w:rPr>
      </w:pPr>
    </w:p>
    <w:p w:rsidR="009E33C4" w:rsidRPr="00B73E97" w:rsidRDefault="00B57E95" w:rsidP="00B2218E">
      <w:pPr>
        <w:tabs>
          <w:tab w:val="left" w:pos="720"/>
        </w:tabs>
        <w:spacing w:after="120" w:line="240" w:lineRule="auto"/>
        <w:jc w:val="right"/>
        <w:rPr>
          <w:rFonts w:ascii="Sylfaen" w:hAnsi="Sylfaen"/>
          <w:b/>
          <w:i/>
          <w:sz w:val="16"/>
          <w:szCs w:val="16"/>
          <w:lang w:val="ka-GE"/>
        </w:rPr>
      </w:pPr>
      <w:r w:rsidRPr="00B73E97">
        <w:rPr>
          <w:rFonts w:ascii="Sylfaen" w:hAnsi="Sylfaen"/>
          <w:b/>
          <w:sz w:val="12"/>
          <w:szCs w:val="12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A8306F" w:rsidRPr="00B73E97" w:rsidRDefault="00A8306F" w:rsidP="00D62E87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</w:rPr>
      </w:pPr>
    </w:p>
    <w:p w:rsidR="00396821" w:rsidRPr="009C518D" w:rsidRDefault="0096735A" w:rsidP="00396821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hd w:val="clear" w:color="auto" w:fill="FFFFFF"/>
          <w:lang w:val="ka-GE"/>
        </w:rPr>
      </w:pPr>
      <w:r w:rsidRPr="00B73E97">
        <w:rPr>
          <w:rFonts w:ascii="Sylfaen" w:hAnsi="Sylfaen" w:cs="Sylfaen"/>
          <w:szCs w:val="21"/>
          <w:shd w:val="clear" w:color="auto" w:fill="FFFFFF"/>
        </w:rPr>
        <w:tab/>
      </w:r>
      <w:r w:rsidR="00396821" w:rsidRPr="009C518D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საქართველოს ფინანსთა სამინისტრომ განახორციელა </w:t>
      </w:r>
      <w:r w:rsidR="00396821" w:rsidRPr="009C518D">
        <w:rPr>
          <w:rFonts w:ascii="Sylfaen" w:hAnsi="Sylfaen" w:cs="Sylfaen"/>
          <w:szCs w:val="21"/>
          <w:shd w:val="clear" w:color="auto" w:fill="FFFFFF"/>
        </w:rPr>
        <w:t>6</w:t>
      </w:r>
      <w:r w:rsidR="00396821" w:rsidRPr="009C518D">
        <w:rPr>
          <w:rFonts w:ascii="Sylfaen" w:hAnsi="Sylfaen" w:cs="Sylfaen"/>
          <w:szCs w:val="21"/>
          <w:shd w:val="clear" w:color="auto" w:fill="FFFFFF"/>
          <w:lang w:val="ka-GE"/>
        </w:rPr>
        <w:t xml:space="preserve"> და 12 თვიანი სახაზინო ვალდებულებების და 2, 5 და 10 წლიანი სახაზინო ობლიგაციების ემისია. </w:t>
      </w:r>
      <w:r w:rsidR="00396821" w:rsidRPr="009C518D">
        <w:rPr>
          <w:rFonts w:ascii="Sylfaen" w:hAnsi="Sylfaen" w:cs="Sylfaen"/>
          <w:szCs w:val="21"/>
          <w:shd w:val="clear" w:color="auto" w:fill="FFFFFF"/>
        </w:rPr>
        <w:t>2020</w:t>
      </w:r>
      <w:r w:rsidR="00396821" w:rsidRPr="009C518D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3</w:t>
      </w:r>
      <w:r w:rsidR="007350CD" w:rsidRPr="009C518D">
        <w:rPr>
          <w:rFonts w:ascii="Sylfaen" w:hAnsi="Sylfaen" w:cs="Sylfaen"/>
          <w:szCs w:val="21"/>
          <w:shd w:val="clear" w:color="auto" w:fill="FFFFFF"/>
          <w:lang w:val="ka-GE"/>
        </w:rPr>
        <w:t>1</w:t>
      </w:r>
      <w:r w:rsidR="00396821" w:rsidRPr="009C518D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5C33E2" w:rsidRPr="009C518D">
        <w:rPr>
          <w:rFonts w:ascii="Sylfaen" w:hAnsi="Sylfaen" w:cs="Sylfaen"/>
          <w:szCs w:val="21"/>
          <w:shd w:val="clear" w:color="auto" w:fill="FFFFFF"/>
          <w:lang w:val="ka-GE"/>
        </w:rPr>
        <w:t>ოქტომბრის</w:t>
      </w:r>
      <w:r w:rsidR="00396821" w:rsidRPr="009C518D">
        <w:rPr>
          <w:rFonts w:ascii="Sylfaen" w:hAnsi="Sylfaen" w:cs="Sylfaen"/>
          <w:szCs w:val="21"/>
          <w:shd w:val="clear" w:color="auto" w:fill="FFFFFF"/>
          <w:lang w:val="ka-GE"/>
        </w:rPr>
        <w:t xml:space="preserve"> მდგომარეობით სახაზინო ვალდებულებების და ობლიგაციების ბოლო აუქციონებზე დაფიქსირებულმა საშუალო შეწონილმა საპროცენტო განაკვეთებმა შეადგინა: 6 თვიანზე </w:t>
      </w:r>
      <w:r w:rsidR="007350CD" w:rsidRPr="009C518D">
        <w:rPr>
          <w:rFonts w:ascii="Sylfaen" w:hAnsi="Sylfaen" w:cs="Sylfaen"/>
          <w:szCs w:val="21"/>
          <w:shd w:val="clear" w:color="auto" w:fill="FFFFFF"/>
          <w:lang w:val="ka-GE"/>
        </w:rPr>
        <w:t>8</w:t>
      </w:r>
      <w:r w:rsidR="00396821" w:rsidRPr="009C518D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9C518D">
        <w:rPr>
          <w:rFonts w:ascii="Sylfaen" w:hAnsi="Sylfaen" w:cs="Sylfaen"/>
          <w:szCs w:val="21"/>
          <w:shd w:val="clear" w:color="auto" w:fill="FFFFFF"/>
        </w:rPr>
        <w:t>1</w:t>
      </w:r>
      <w:r w:rsidR="00396821" w:rsidRPr="009C518D">
        <w:rPr>
          <w:rFonts w:ascii="Sylfaen" w:hAnsi="Sylfaen" w:cs="Sylfaen"/>
          <w:szCs w:val="21"/>
          <w:shd w:val="clear" w:color="auto" w:fill="FFFFFF"/>
          <w:lang w:val="ka-GE"/>
        </w:rPr>
        <w:t xml:space="preserve">%, 12 თვიანზე </w:t>
      </w:r>
      <w:r w:rsidR="007350CD" w:rsidRPr="009C518D">
        <w:rPr>
          <w:rFonts w:ascii="Sylfaen" w:hAnsi="Sylfaen" w:cs="Sylfaen"/>
          <w:szCs w:val="21"/>
          <w:shd w:val="clear" w:color="auto" w:fill="FFFFFF"/>
          <w:lang w:val="ka-GE"/>
        </w:rPr>
        <w:t>8</w:t>
      </w:r>
      <w:r w:rsidR="00396821" w:rsidRPr="009C518D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9C518D">
        <w:rPr>
          <w:rFonts w:ascii="Sylfaen" w:hAnsi="Sylfaen" w:cs="Sylfaen"/>
          <w:szCs w:val="21"/>
          <w:shd w:val="clear" w:color="auto" w:fill="FFFFFF"/>
        </w:rPr>
        <w:t>1</w:t>
      </w:r>
      <w:r w:rsidR="00396821" w:rsidRPr="009C518D">
        <w:rPr>
          <w:rFonts w:ascii="Sylfaen" w:hAnsi="Sylfaen" w:cs="Sylfaen"/>
          <w:szCs w:val="21"/>
          <w:shd w:val="clear" w:color="auto" w:fill="FFFFFF"/>
          <w:lang w:val="ka-GE"/>
        </w:rPr>
        <w:t xml:space="preserve">%, 2 წლიანზე - </w:t>
      </w:r>
      <w:r w:rsidR="007350CD" w:rsidRPr="009C518D">
        <w:rPr>
          <w:rFonts w:ascii="Sylfaen" w:hAnsi="Sylfaen" w:cs="Sylfaen"/>
          <w:szCs w:val="21"/>
          <w:shd w:val="clear" w:color="auto" w:fill="FFFFFF"/>
          <w:lang w:val="ka-GE"/>
        </w:rPr>
        <w:t>8</w:t>
      </w:r>
      <w:r w:rsidR="00396821" w:rsidRPr="009C518D">
        <w:rPr>
          <w:rFonts w:ascii="Sylfaen" w:hAnsi="Sylfaen" w:cs="Sylfaen"/>
          <w:szCs w:val="21"/>
          <w:shd w:val="clear" w:color="auto" w:fill="FFFFFF"/>
        </w:rPr>
        <w:t>.</w:t>
      </w:r>
      <w:r w:rsidR="009C518D">
        <w:rPr>
          <w:rFonts w:ascii="Sylfaen" w:hAnsi="Sylfaen" w:cs="Sylfaen"/>
          <w:szCs w:val="21"/>
          <w:shd w:val="clear" w:color="auto" w:fill="FFFFFF"/>
        </w:rPr>
        <w:t>2</w:t>
      </w:r>
      <w:r w:rsidR="00396821" w:rsidRPr="009C518D">
        <w:rPr>
          <w:rFonts w:ascii="Sylfaen" w:hAnsi="Sylfaen" w:cs="Sylfaen"/>
          <w:szCs w:val="21"/>
          <w:shd w:val="clear" w:color="auto" w:fill="FFFFFF"/>
          <w:lang w:val="ka-GE"/>
        </w:rPr>
        <w:t>%, 5 წლიანზე</w:t>
      </w:r>
      <w:r w:rsidR="007350CD" w:rsidRPr="009C518D">
        <w:rPr>
          <w:rFonts w:ascii="Sylfaen" w:hAnsi="Sylfaen" w:cs="Sylfaen"/>
          <w:szCs w:val="21"/>
          <w:shd w:val="clear" w:color="auto" w:fill="FFFFFF"/>
          <w:lang w:val="ka-GE"/>
        </w:rPr>
        <w:t xml:space="preserve"> - 8</w:t>
      </w:r>
      <w:r w:rsidR="00396821" w:rsidRPr="009C518D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7350CD" w:rsidRPr="009C518D">
        <w:rPr>
          <w:rFonts w:ascii="Sylfaen" w:hAnsi="Sylfaen" w:cs="Sylfaen"/>
          <w:szCs w:val="21"/>
          <w:shd w:val="clear" w:color="auto" w:fill="FFFFFF"/>
          <w:lang w:val="ka-GE"/>
        </w:rPr>
        <w:t>3</w:t>
      </w:r>
      <w:r w:rsidR="00396821" w:rsidRPr="009C518D">
        <w:rPr>
          <w:rFonts w:ascii="Sylfaen" w:hAnsi="Sylfaen" w:cs="Sylfaen"/>
          <w:szCs w:val="21"/>
          <w:shd w:val="clear" w:color="auto" w:fill="FFFFFF"/>
          <w:lang w:val="ka-GE"/>
        </w:rPr>
        <w:t xml:space="preserve">%, 10 წლიანზე - </w:t>
      </w:r>
      <w:r w:rsidR="009C518D">
        <w:rPr>
          <w:rFonts w:ascii="Sylfaen" w:hAnsi="Sylfaen" w:cs="Sylfaen"/>
          <w:szCs w:val="21"/>
          <w:shd w:val="clear" w:color="auto" w:fill="FFFFFF"/>
        </w:rPr>
        <w:t>8</w:t>
      </w:r>
      <w:r w:rsidR="00396821" w:rsidRPr="009C518D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9C518D">
        <w:rPr>
          <w:rFonts w:ascii="Sylfaen" w:hAnsi="Sylfaen" w:cs="Sylfaen"/>
          <w:szCs w:val="21"/>
          <w:shd w:val="clear" w:color="auto" w:fill="FFFFFF"/>
        </w:rPr>
        <w:t>8</w:t>
      </w:r>
      <w:r w:rsidR="00396821" w:rsidRPr="009C518D">
        <w:rPr>
          <w:rFonts w:ascii="Sylfaen" w:hAnsi="Sylfaen" w:cs="Sylfaen"/>
          <w:szCs w:val="21"/>
          <w:shd w:val="clear" w:color="auto" w:fill="FFFFFF"/>
        </w:rPr>
        <w:t>%</w:t>
      </w:r>
      <w:r w:rsidR="00396821" w:rsidRPr="009C518D">
        <w:rPr>
          <w:rFonts w:ascii="Sylfaen" w:hAnsi="Sylfaen" w:cs="Sylfaen"/>
          <w:szCs w:val="21"/>
          <w:shd w:val="clear" w:color="auto" w:fill="FFFFFF"/>
          <w:lang w:val="ka-GE"/>
        </w:rPr>
        <w:t xml:space="preserve">. </w:t>
      </w:r>
    </w:p>
    <w:p w:rsidR="00396821" w:rsidRPr="00B73E97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 w:cs="Sylfaen"/>
          <w:shd w:val="clear" w:color="auto" w:fill="FFFFFF"/>
        </w:rPr>
      </w:pPr>
      <w:r w:rsidRPr="009C518D">
        <w:rPr>
          <w:rFonts w:ascii="Sylfaen" w:hAnsi="Sylfaen" w:cs="Sylfaen"/>
          <w:shd w:val="clear" w:color="auto" w:fill="FFFFFF"/>
          <w:lang w:val="ka-GE"/>
        </w:rPr>
        <w:t xml:space="preserve">ფასიანი ქაღალდების გამოშვების შედეგად მთავრობის საშინაო ვალის ნაშთმა 2020 წლის </w:t>
      </w:r>
      <w:r w:rsidR="007350CD" w:rsidRPr="009C518D">
        <w:rPr>
          <w:rFonts w:ascii="Sylfaen" w:hAnsi="Sylfaen" w:cs="Sylfaen"/>
          <w:szCs w:val="21"/>
          <w:shd w:val="clear" w:color="auto" w:fill="FFFFFF"/>
          <w:lang w:val="ka-GE"/>
        </w:rPr>
        <w:t>31</w:t>
      </w:r>
      <w:r w:rsidRPr="009C518D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5C33E2" w:rsidRPr="009C518D">
        <w:rPr>
          <w:rFonts w:ascii="Sylfaen" w:hAnsi="Sylfaen" w:cs="Sylfaen"/>
          <w:szCs w:val="21"/>
          <w:shd w:val="clear" w:color="auto" w:fill="FFFFFF"/>
          <w:lang w:val="ka-GE"/>
        </w:rPr>
        <w:t>ოქტომბრის</w:t>
      </w:r>
      <w:r w:rsidRPr="009C518D">
        <w:rPr>
          <w:rFonts w:ascii="Sylfaen" w:hAnsi="Sylfaen" w:cs="Sylfaen"/>
          <w:shd w:val="clear" w:color="auto" w:fill="FFFFFF"/>
          <w:lang w:val="ka-GE"/>
        </w:rPr>
        <w:t xml:space="preserve"> მდგომარეობით შეადგინა </w:t>
      </w:r>
      <w:r w:rsidR="003150E3" w:rsidRPr="009C518D">
        <w:rPr>
          <w:rFonts w:ascii="Sylfaen" w:hAnsi="Sylfaen" w:cs="Sylfaen"/>
          <w:shd w:val="clear" w:color="auto" w:fill="FFFFFF"/>
          <w:lang w:val="ka-GE"/>
        </w:rPr>
        <w:t>5</w:t>
      </w:r>
      <w:r w:rsidR="008739E5">
        <w:rPr>
          <w:rFonts w:ascii="Sylfaen" w:hAnsi="Sylfaen" w:cs="Sylfaen"/>
          <w:shd w:val="clear" w:color="auto" w:fill="FFFFFF"/>
        </w:rPr>
        <w:t xml:space="preserve"> </w:t>
      </w:r>
      <w:r w:rsidR="009E10CF" w:rsidRPr="009C518D">
        <w:rPr>
          <w:rFonts w:ascii="Sylfaen" w:hAnsi="Sylfaen" w:cs="Sylfaen"/>
          <w:shd w:val="clear" w:color="auto" w:fill="FFFFFF"/>
        </w:rPr>
        <w:t>922.9</w:t>
      </w:r>
      <w:r w:rsidRPr="009C518D">
        <w:rPr>
          <w:rFonts w:ascii="Sylfaen" w:hAnsi="Sylfaen" w:cs="Sylfaen"/>
          <w:shd w:val="clear" w:color="auto" w:fill="FFFFFF"/>
          <w:lang w:val="ka-GE"/>
        </w:rPr>
        <w:t xml:space="preserve"> მლნ ლარი (ფასიანი ქაღალდების დაუფარავი მოცულობა</w:t>
      </w:r>
      <w:r w:rsidRPr="00B73E97">
        <w:rPr>
          <w:rFonts w:ascii="Sylfaen" w:hAnsi="Sylfaen" w:cs="Sylfaen"/>
          <w:shd w:val="clear" w:color="auto" w:fill="FFFFFF"/>
          <w:lang w:val="ka-GE"/>
        </w:rPr>
        <w:t xml:space="preserve"> ნომინალებში - </w:t>
      </w:r>
      <w:r w:rsidR="008739E5">
        <w:rPr>
          <w:rFonts w:ascii="Sylfaen" w:hAnsi="Sylfaen" w:cs="Sylfaen"/>
          <w:shd w:val="clear" w:color="auto" w:fill="FFFFFF"/>
          <w:lang w:val="ka-GE"/>
        </w:rPr>
        <w:t xml:space="preserve">5 </w:t>
      </w:r>
      <w:r w:rsidR="009C518D">
        <w:rPr>
          <w:rFonts w:ascii="Sylfaen" w:hAnsi="Sylfaen" w:cs="Sylfaen"/>
          <w:shd w:val="clear" w:color="auto" w:fill="FFFFFF"/>
        </w:rPr>
        <w:t>935</w:t>
      </w:r>
      <w:r w:rsidR="003150E3" w:rsidRPr="00B73E97">
        <w:rPr>
          <w:rFonts w:ascii="Sylfaen" w:hAnsi="Sylfaen" w:cs="Sylfaen"/>
          <w:shd w:val="clear" w:color="auto" w:fill="FFFFFF"/>
          <w:lang w:val="ka-GE"/>
        </w:rPr>
        <w:t>.</w:t>
      </w:r>
      <w:r w:rsidR="009C518D">
        <w:rPr>
          <w:rFonts w:ascii="Sylfaen" w:hAnsi="Sylfaen" w:cs="Sylfaen"/>
          <w:shd w:val="clear" w:color="auto" w:fill="FFFFFF"/>
        </w:rPr>
        <w:t>7</w:t>
      </w:r>
      <w:r w:rsidRPr="00B73E97">
        <w:rPr>
          <w:rFonts w:ascii="Sylfaen" w:hAnsi="Sylfaen" w:cs="Sylfaen"/>
          <w:shd w:val="clear" w:color="auto" w:fill="FFFFFF"/>
          <w:lang w:val="ka-GE"/>
        </w:rPr>
        <w:t xml:space="preserve"> მლნ ლარი და </w:t>
      </w:r>
      <w:r w:rsidRPr="00B73E97">
        <w:rPr>
          <w:rFonts w:ascii="Sylfaen" w:hAnsi="Sylfaen"/>
          <w:szCs w:val="21"/>
          <w:shd w:val="clear" w:color="auto" w:fill="FFFFFF"/>
          <w:lang w:val="ka-GE"/>
        </w:rPr>
        <w:t xml:space="preserve">საბიუჯეტო ორგანიზაციების სესხის სახით არსებულ ნაშთი - </w:t>
      </w:r>
      <w:r w:rsidR="005C33E2">
        <w:rPr>
          <w:rFonts w:ascii="Sylfaen" w:hAnsi="Sylfaen"/>
          <w:szCs w:val="21"/>
          <w:shd w:val="clear" w:color="auto" w:fill="FFFFFF"/>
        </w:rPr>
        <w:t>15.</w:t>
      </w:r>
      <w:r w:rsidR="009E10CF">
        <w:rPr>
          <w:rFonts w:ascii="Sylfaen" w:hAnsi="Sylfaen"/>
          <w:szCs w:val="21"/>
          <w:shd w:val="clear" w:color="auto" w:fill="FFFFFF"/>
        </w:rPr>
        <w:t>8</w:t>
      </w:r>
      <w:r w:rsidRPr="00B73E97">
        <w:rPr>
          <w:rFonts w:ascii="Sylfaen" w:hAnsi="Sylfaen"/>
          <w:szCs w:val="21"/>
          <w:shd w:val="clear" w:color="auto" w:fill="FFFFFF"/>
          <w:lang w:val="ka-GE"/>
        </w:rPr>
        <w:t xml:space="preserve"> მლნ ლარი</w:t>
      </w:r>
      <w:r w:rsidRPr="00B73E97">
        <w:rPr>
          <w:rFonts w:ascii="Sylfaen" w:hAnsi="Sylfaen" w:cs="Sylfaen"/>
          <w:shd w:val="clear" w:color="auto" w:fill="FFFFFF"/>
          <w:lang w:val="ka-GE"/>
        </w:rPr>
        <w:t xml:space="preserve">), აქედან </w:t>
      </w:r>
      <w:r w:rsidR="003150E3" w:rsidRPr="00B73E97">
        <w:rPr>
          <w:rFonts w:ascii="Sylfaen" w:hAnsi="Sylfaen" w:cs="Sylfaen"/>
          <w:shd w:val="clear" w:color="auto" w:fill="FFFFFF"/>
          <w:lang w:val="ka-GE"/>
        </w:rPr>
        <w:t>5</w:t>
      </w:r>
      <w:r w:rsidR="008739E5">
        <w:rPr>
          <w:rFonts w:ascii="Sylfaen" w:hAnsi="Sylfaen" w:cs="Sylfaen"/>
          <w:shd w:val="clear" w:color="auto" w:fill="FFFFFF"/>
        </w:rPr>
        <w:t xml:space="preserve"> </w:t>
      </w:r>
      <w:r w:rsidR="009E10CF">
        <w:rPr>
          <w:rFonts w:ascii="Sylfaen" w:hAnsi="Sylfaen" w:cs="Sylfaen"/>
          <w:shd w:val="clear" w:color="auto" w:fill="FFFFFF"/>
        </w:rPr>
        <w:t>546</w:t>
      </w:r>
      <w:r w:rsidR="003150E3" w:rsidRPr="00B73E97">
        <w:rPr>
          <w:rFonts w:ascii="Sylfaen" w:hAnsi="Sylfaen" w:cs="Sylfaen"/>
          <w:shd w:val="clear" w:color="auto" w:fill="FFFFFF"/>
          <w:lang w:val="ka-GE"/>
        </w:rPr>
        <w:t>.</w:t>
      </w:r>
      <w:r w:rsidR="009E10CF">
        <w:rPr>
          <w:rFonts w:ascii="Sylfaen" w:hAnsi="Sylfaen" w:cs="Sylfaen"/>
          <w:shd w:val="clear" w:color="auto" w:fill="FFFFFF"/>
        </w:rPr>
        <w:t>3</w:t>
      </w:r>
      <w:r w:rsidRPr="00B73E97">
        <w:rPr>
          <w:rFonts w:ascii="Sylfaen" w:hAnsi="Sylfaen" w:cs="Sylfaen"/>
          <w:shd w:val="clear" w:color="auto" w:fill="FFFFFF"/>
          <w:lang w:val="ka-GE"/>
        </w:rPr>
        <w:t xml:space="preserve"> მლნ ლარი წარმოადგენს ნაშთს სახაზინო ვალდებულებების და ობლიგაციების ნაწილში, </w:t>
      </w:r>
      <w:r w:rsidR="003150E3" w:rsidRPr="00B73E97">
        <w:rPr>
          <w:rFonts w:ascii="Sylfaen" w:hAnsi="Sylfaen" w:cs="Sylfaen"/>
          <w:shd w:val="clear" w:color="auto" w:fill="FFFFFF"/>
          <w:lang w:val="ka-GE"/>
        </w:rPr>
        <w:t>3</w:t>
      </w:r>
      <w:r w:rsidR="005C33E2">
        <w:rPr>
          <w:rFonts w:ascii="Sylfaen" w:hAnsi="Sylfaen" w:cs="Sylfaen"/>
          <w:shd w:val="clear" w:color="auto" w:fill="FFFFFF"/>
        </w:rPr>
        <w:t>6</w:t>
      </w:r>
      <w:r w:rsidR="003150E3" w:rsidRPr="00B73E97">
        <w:rPr>
          <w:rFonts w:ascii="Sylfaen" w:hAnsi="Sylfaen" w:cs="Sylfaen"/>
          <w:shd w:val="clear" w:color="auto" w:fill="FFFFFF"/>
          <w:lang w:val="ka-GE"/>
        </w:rPr>
        <w:t>0</w:t>
      </w:r>
      <w:r w:rsidRPr="00B73E97">
        <w:rPr>
          <w:rFonts w:ascii="Sylfaen" w:hAnsi="Sylfaen" w:cs="Sylfaen"/>
          <w:shd w:val="clear" w:color="auto" w:fill="FFFFFF"/>
          <w:lang w:val="ka-GE"/>
        </w:rPr>
        <w:t xml:space="preserve">.8 მლნ ლარი - „ობლიგაცია სებ-სთვის და ღია ბაზრის ოპერაციებისათვის“ ნაწილში და </w:t>
      </w:r>
      <w:r w:rsidRPr="00B73E97">
        <w:rPr>
          <w:rFonts w:ascii="Sylfaen" w:hAnsi="Sylfaen"/>
          <w:szCs w:val="21"/>
          <w:shd w:val="clear" w:color="auto" w:fill="FFFFFF"/>
          <w:lang w:val="ka-GE"/>
        </w:rPr>
        <w:t xml:space="preserve">საბიუჯეტო ორგანიზაციების სესხის სახით არსებულ ნაშთი - </w:t>
      </w:r>
      <w:r w:rsidR="005C33E2">
        <w:rPr>
          <w:rFonts w:ascii="Sylfaen" w:hAnsi="Sylfaen"/>
          <w:szCs w:val="21"/>
          <w:shd w:val="clear" w:color="auto" w:fill="FFFFFF"/>
        </w:rPr>
        <w:t>15</w:t>
      </w:r>
      <w:r w:rsidR="00B4541C" w:rsidRPr="00B73E97">
        <w:rPr>
          <w:rFonts w:ascii="Sylfaen" w:hAnsi="Sylfaen"/>
          <w:szCs w:val="21"/>
          <w:shd w:val="clear" w:color="auto" w:fill="FFFFFF"/>
          <w:lang w:val="ka-GE"/>
        </w:rPr>
        <w:t>.</w:t>
      </w:r>
      <w:r w:rsidR="009E10CF">
        <w:rPr>
          <w:rFonts w:ascii="Sylfaen" w:hAnsi="Sylfaen"/>
          <w:szCs w:val="21"/>
          <w:shd w:val="clear" w:color="auto" w:fill="FFFFFF"/>
        </w:rPr>
        <w:t>8</w:t>
      </w:r>
      <w:r w:rsidRPr="00B73E97">
        <w:rPr>
          <w:rFonts w:ascii="Sylfaen" w:hAnsi="Sylfaen"/>
          <w:szCs w:val="21"/>
          <w:shd w:val="clear" w:color="auto" w:fill="FFFFFF"/>
          <w:lang w:val="ka-GE"/>
        </w:rPr>
        <w:t xml:space="preserve"> მლნ ლარი.</w:t>
      </w:r>
    </w:p>
    <w:p w:rsidR="00396821" w:rsidRPr="00B73E97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:rsidR="00396821" w:rsidRPr="00B73E97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ფასიანი ქაღალდების დაუფარავი მოცულობა ნომინალებში ვადის და ტიპის მიხედვით და საბიუჯეტო ორგანიზაციების სესხის სახით არსებული ვალის ნაშთი </w:t>
      </w:r>
    </w:p>
    <w:p w:rsidR="00396821" w:rsidRPr="00B73E97" w:rsidRDefault="00B4541C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B73E97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2020</w:t>
      </w:r>
      <w:r w:rsidR="00396821" w:rsidRPr="00B73E97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წლის </w:t>
      </w:r>
      <w:r w:rsidR="003150E3" w:rsidRPr="00B73E97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31</w:t>
      </w:r>
      <w:r w:rsidR="00396821" w:rsidRPr="00B73E97">
        <w:rPr>
          <w:rFonts w:ascii="Sylfaen" w:hAnsi="Sylfaen" w:cs="Sylfaen"/>
          <w:b/>
          <w:sz w:val="20"/>
          <w:szCs w:val="20"/>
          <w:shd w:val="clear" w:color="auto" w:fill="FFFFFF"/>
        </w:rPr>
        <w:t xml:space="preserve"> </w:t>
      </w:r>
      <w:r w:rsidR="005C33E2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ოქტომბრის</w:t>
      </w:r>
      <w:r w:rsidR="00396821" w:rsidRPr="00B73E97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მდგომარეობით</w:t>
      </w:r>
    </w:p>
    <w:p w:rsidR="00396821" w:rsidRPr="00B73E97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</w:rPr>
      </w:pPr>
    </w:p>
    <w:p w:rsidR="00396821" w:rsidRPr="00B73E97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</w:rPr>
      </w:pPr>
    </w:p>
    <w:p w:rsidR="00396821" w:rsidRPr="00B73E97" w:rsidRDefault="00396821" w:rsidP="002B6702">
      <w:pPr>
        <w:tabs>
          <w:tab w:val="left" w:pos="0"/>
        </w:tabs>
        <w:spacing w:after="0" w:line="240" w:lineRule="auto"/>
        <w:ind w:right="270" w:firstLine="720"/>
        <w:jc w:val="right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  <w:r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 </w:t>
      </w:r>
      <w:r w:rsidRPr="00B73E97">
        <w:rPr>
          <w:rFonts w:ascii="Sylfaen" w:hAnsi="Sylfaen" w:cs="Sylfaen"/>
          <w:b/>
          <w:szCs w:val="18"/>
          <w:shd w:val="clear" w:color="auto" w:fill="FFFFFF"/>
        </w:rPr>
        <w:tab/>
      </w:r>
      <w:r w:rsidR="00AD59D0" w:rsidRPr="00B73E97">
        <w:rPr>
          <w:rFonts w:ascii="Sylfaen" w:hAnsi="Sylfaen" w:cs="Sylfaen"/>
          <w:b/>
          <w:szCs w:val="18"/>
          <w:shd w:val="clear" w:color="auto" w:fill="FFFFFF"/>
        </w:rPr>
        <w:t xml:space="preserve">    </w:t>
      </w:r>
      <w:r w:rsidRPr="00B73E97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 xml:space="preserve"> ათასი ლარი</w:t>
      </w:r>
    </w:p>
    <w:tbl>
      <w:tblPr>
        <w:tblStyle w:val="TableGrid"/>
        <w:tblW w:w="4828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391"/>
        <w:gridCol w:w="2506"/>
      </w:tblGrid>
      <w:tr w:rsidR="009E10CF" w:rsidRPr="00B73E97" w:rsidTr="0058522A">
        <w:trPr>
          <w:trHeight w:val="343"/>
          <w:jc w:val="center"/>
        </w:trPr>
        <w:tc>
          <w:tcPr>
            <w:tcW w:w="3734" w:type="pct"/>
            <w:vAlign w:val="center"/>
            <w:hideMark/>
          </w:tcPr>
          <w:p w:rsidR="009E10CF" w:rsidRPr="00B73E97" w:rsidRDefault="009E10CF" w:rsidP="009E10CF">
            <w:pPr>
              <w:rPr>
                <w:rFonts w:ascii="Arial" w:eastAsia="Times New Roman" w:hAnsi="Arial" w:cs="Arial"/>
                <w:b/>
                <w:bCs/>
                <w:sz w:val="20"/>
                <w:szCs w:val="18"/>
                <w:lang w:val="ka-GE"/>
              </w:rPr>
            </w:pPr>
            <w:r w:rsidRPr="00B73E97">
              <w:rPr>
                <w:rFonts w:ascii="Sylfaen" w:eastAsia="Times New Roman" w:hAnsi="Sylfaen" w:cs="Sylfaen"/>
                <w:b/>
                <w:bCs/>
                <w:sz w:val="20"/>
                <w:szCs w:val="18"/>
                <w:lang w:val="ka-GE"/>
              </w:rPr>
              <w:t>სულ</w:t>
            </w:r>
          </w:p>
        </w:tc>
        <w:tc>
          <w:tcPr>
            <w:tcW w:w="1266" w:type="pct"/>
            <w:vAlign w:val="center"/>
            <w:hideMark/>
          </w:tcPr>
          <w:p w:rsidR="009E10CF" w:rsidRPr="009E10CF" w:rsidRDefault="009E10CF" w:rsidP="00BD1F4C">
            <w:pPr>
              <w:jc w:val="right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9E10CF">
              <w:rPr>
                <w:rFonts w:ascii="Arial" w:hAnsi="Arial" w:cs="Arial"/>
                <w:b/>
                <w:bCs/>
                <w:sz w:val="20"/>
                <w:szCs w:val="28"/>
              </w:rPr>
              <w:t>5,</w:t>
            </w:r>
            <w:r w:rsidR="008739E5">
              <w:rPr>
                <w:rFonts w:ascii="Arial" w:hAnsi="Arial" w:cs="Arial"/>
                <w:b/>
                <w:bCs/>
                <w:sz w:val="20"/>
                <w:szCs w:val="28"/>
              </w:rPr>
              <w:t>9</w:t>
            </w:r>
            <w:r w:rsidR="00BD1F4C">
              <w:rPr>
                <w:rFonts w:ascii="Arial" w:hAnsi="Arial" w:cs="Arial"/>
                <w:b/>
                <w:bCs/>
                <w:sz w:val="20"/>
                <w:szCs w:val="28"/>
              </w:rPr>
              <w:t>5</w:t>
            </w:r>
            <w:r w:rsidR="008739E5">
              <w:rPr>
                <w:rFonts w:ascii="Arial" w:hAnsi="Arial" w:cs="Arial"/>
                <w:b/>
                <w:bCs/>
                <w:sz w:val="20"/>
                <w:szCs w:val="28"/>
              </w:rPr>
              <w:t>1</w:t>
            </w:r>
            <w:r w:rsidRPr="009E10CF">
              <w:rPr>
                <w:rFonts w:ascii="Arial" w:hAnsi="Arial" w:cs="Arial"/>
                <w:b/>
                <w:bCs/>
                <w:sz w:val="20"/>
                <w:szCs w:val="28"/>
              </w:rPr>
              <w:t>,</w:t>
            </w:r>
            <w:r w:rsidR="008739E5">
              <w:rPr>
                <w:rFonts w:ascii="Arial" w:hAnsi="Arial" w:cs="Arial"/>
                <w:b/>
                <w:bCs/>
                <w:sz w:val="20"/>
                <w:szCs w:val="28"/>
              </w:rPr>
              <w:t>420</w:t>
            </w:r>
            <w:r w:rsidRPr="009E10CF">
              <w:rPr>
                <w:rFonts w:ascii="Arial" w:hAnsi="Arial" w:cs="Arial"/>
                <w:b/>
                <w:bCs/>
                <w:sz w:val="20"/>
                <w:szCs w:val="28"/>
              </w:rPr>
              <w:t>.</w:t>
            </w:r>
            <w:r w:rsidR="008739E5">
              <w:rPr>
                <w:rFonts w:ascii="Arial" w:hAnsi="Arial" w:cs="Arial"/>
                <w:b/>
                <w:bCs/>
                <w:sz w:val="20"/>
                <w:szCs w:val="28"/>
              </w:rPr>
              <w:t>3</w:t>
            </w:r>
          </w:p>
        </w:tc>
      </w:tr>
      <w:tr w:rsidR="009E10CF" w:rsidRPr="00B73E97" w:rsidTr="0058522A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:rsidR="009E10CF" w:rsidRPr="00B73E97" w:rsidRDefault="009E10CF" w:rsidP="009E10CF">
            <w:pPr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  <w:proofErr w:type="spellStart"/>
            <w:r w:rsidRPr="00B73E97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>სახაზინო</w:t>
            </w:r>
            <w:proofErr w:type="spellEnd"/>
            <w:r w:rsidRPr="00B73E97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B73E97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>ფასიანი</w:t>
            </w:r>
            <w:proofErr w:type="spellEnd"/>
            <w:r w:rsidRPr="00B73E97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B73E97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>ქაღალდები</w:t>
            </w:r>
            <w:proofErr w:type="spellEnd"/>
          </w:p>
        </w:tc>
        <w:tc>
          <w:tcPr>
            <w:tcW w:w="1266" w:type="pct"/>
            <w:vAlign w:val="center"/>
            <w:hideMark/>
          </w:tcPr>
          <w:p w:rsidR="009E10CF" w:rsidRPr="009E10CF" w:rsidRDefault="009E10CF" w:rsidP="008739E5">
            <w:pPr>
              <w:ind w:right="45" w:firstLineChars="100" w:firstLine="201"/>
              <w:jc w:val="right"/>
              <w:rPr>
                <w:rFonts w:ascii="Nino" w:hAnsi="Nino" w:cs="Calibri"/>
                <w:b/>
                <w:bCs/>
                <w:sz w:val="20"/>
                <w:szCs w:val="20"/>
              </w:rPr>
            </w:pPr>
            <w:r w:rsidRPr="009E10CF">
              <w:rPr>
                <w:rFonts w:ascii="Nino" w:hAnsi="Nino" w:cs="Calibri"/>
                <w:b/>
                <w:bCs/>
                <w:sz w:val="20"/>
                <w:szCs w:val="20"/>
              </w:rPr>
              <w:t>5,</w:t>
            </w:r>
            <w:r w:rsidR="008739E5">
              <w:rPr>
                <w:rFonts w:ascii="Nino" w:hAnsi="Nino" w:cs="Calibri"/>
                <w:b/>
                <w:bCs/>
                <w:sz w:val="20"/>
                <w:szCs w:val="20"/>
              </w:rPr>
              <w:t>574</w:t>
            </w:r>
            <w:r w:rsidRPr="009E10CF">
              <w:rPr>
                <w:rFonts w:ascii="Nino" w:hAnsi="Nino" w:cs="Calibri"/>
                <w:b/>
                <w:bCs/>
                <w:sz w:val="20"/>
                <w:szCs w:val="20"/>
              </w:rPr>
              <w:t>,</w:t>
            </w:r>
            <w:r w:rsidR="008739E5">
              <w:rPr>
                <w:rFonts w:ascii="Nino" w:hAnsi="Nino" w:cs="Calibri"/>
                <w:b/>
                <w:bCs/>
                <w:sz w:val="20"/>
                <w:szCs w:val="20"/>
              </w:rPr>
              <w:t>818</w:t>
            </w:r>
            <w:r w:rsidRPr="009E10CF">
              <w:rPr>
                <w:rFonts w:ascii="Nino" w:hAnsi="Nino" w:cs="Calibri"/>
                <w:b/>
                <w:bCs/>
                <w:sz w:val="20"/>
                <w:szCs w:val="20"/>
              </w:rPr>
              <w:t>.0</w:t>
            </w:r>
          </w:p>
        </w:tc>
      </w:tr>
      <w:tr w:rsidR="009E10CF" w:rsidRPr="00B73E97" w:rsidTr="0058522A">
        <w:trPr>
          <w:trHeight w:val="288"/>
          <w:jc w:val="center"/>
        </w:trPr>
        <w:tc>
          <w:tcPr>
            <w:tcW w:w="3734" w:type="pct"/>
            <w:noWrap/>
            <w:vAlign w:val="center"/>
          </w:tcPr>
          <w:p w:rsidR="009E10CF" w:rsidRPr="00B73E97" w:rsidRDefault="009E10CF" w:rsidP="009E10CF">
            <w:pPr>
              <w:ind w:left="341"/>
              <w:rPr>
                <w:rFonts w:ascii="Arial" w:eastAsia="Times New Roman" w:hAnsi="Arial" w:cs="Arial"/>
                <w:sz w:val="20"/>
                <w:szCs w:val="18"/>
              </w:rPr>
            </w:pP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>6</w:t>
            </w:r>
            <w:r w:rsidRPr="00B73E97">
              <w:rPr>
                <w:rFonts w:ascii="Arial" w:eastAsia="Times New Roman" w:hAnsi="Arial" w:cs="Arial"/>
                <w:sz w:val="20"/>
                <w:szCs w:val="18"/>
              </w:rPr>
              <w:t xml:space="preserve"> </w:t>
            </w:r>
            <w:proofErr w:type="spellStart"/>
            <w:r w:rsidRPr="00B73E97">
              <w:rPr>
                <w:rFonts w:ascii="Sylfaen" w:eastAsia="Times New Roman" w:hAnsi="Sylfaen" w:cs="Sylfaen"/>
                <w:sz w:val="20"/>
                <w:szCs w:val="18"/>
              </w:rPr>
              <w:t>თვის</w:t>
            </w:r>
            <w:proofErr w:type="spellEnd"/>
            <w:r w:rsidRPr="00B73E97">
              <w:rPr>
                <w:rFonts w:ascii="Arial" w:eastAsia="Times New Roman" w:hAnsi="Arial" w:cs="Arial"/>
                <w:sz w:val="20"/>
                <w:szCs w:val="18"/>
              </w:rPr>
              <w:t xml:space="preserve"> </w:t>
            </w:r>
            <w:proofErr w:type="spellStart"/>
            <w:r w:rsidRPr="00B73E97">
              <w:rPr>
                <w:rFonts w:ascii="Sylfaen" w:eastAsia="Times New Roman" w:hAnsi="Sylfaen" w:cs="Sylfaen"/>
                <w:sz w:val="20"/>
                <w:szCs w:val="18"/>
              </w:rPr>
              <w:t>ვადიანობის</w:t>
            </w:r>
            <w:proofErr w:type="spellEnd"/>
            <w:r w:rsidRPr="00B73E97">
              <w:rPr>
                <w:rFonts w:ascii="Arial" w:eastAsia="Times New Roman" w:hAnsi="Arial" w:cs="Arial"/>
                <w:sz w:val="20"/>
                <w:szCs w:val="18"/>
              </w:rPr>
              <w:t xml:space="preserve"> </w:t>
            </w:r>
            <w:proofErr w:type="spellStart"/>
            <w:r w:rsidRPr="00B73E97">
              <w:rPr>
                <w:rFonts w:ascii="Sylfaen" w:eastAsia="Times New Roman" w:hAnsi="Sylfaen" w:cs="Sylfaen"/>
                <w:sz w:val="20"/>
                <w:szCs w:val="18"/>
              </w:rPr>
              <w:t>სახაზინო</w:t>
            </w:r>
            <w:proofErr w:type="spellEnd"/>
            <w:r w:rsidRPr="00B73E97">
              <w:rPr>
                <w:rFonts w:ascii="Arial" w:eastAsia="Times New Roman" w:hAnsi="Arial" w:cs="Arial"/>
                <w:sz w:val="20"/>
                <w:szCs w:val="18"/>
              </w:rPr>
              <w:t xml:space="preserve"> </w:t>
            </w:r>
            <w:proofErr w:type="spellStart"/>
            <w:r w:rsidRPr="00B73E97">
              <w:rPr>
                <w:rFonts w:ascii="Sylfaen" w:eastAsia="Times New Roman" w:hAnsi="Sylfaen" w:cs="Sylfaen"/>
                <w:sz w:val="20"/>
                <w:szCs w:val="18"/>
              </w:rPr>
              <w:t>ვალდებულებები</w:t>
            </w:r>
            <w:proofErr w:type="spellEnd"/>
          </w:p>
        </w:tc>
        <w:tc>
          <w:tcPr>
            <w:tcW w:w="1266" w:type="pct"/>
            <w:vAlign w:val="center"/>
          </w:tcPr>
          <w:p w:rsidR="009E10CF" w:rsidRPr="009E10CF" w:rsidRDefault="009E10CF" w:rsidP="009C518D">
            <w:pPr>
              <w:ind w:right="4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0CF">
              <w:rPr>
                <w:rFonts w:ascii="Arial" w:hAnsi="Arial" w:cs="Arial"/>
                <w:sz w:val="18"/>
                <w:szCs w:val="18"/>
              </w:rPr>
              <w:t>1</w:t>
            </w:r>
            <w:r w:rsidR="009C518D">
              <w:rPr>
                <w:rFonts w:ascii="Arial" w:hAnsi="Arial" w:cs="Arial"/>
                <w:sz w:val="18"/>
                <w:szCs w:val="18"/>
              </w:rPr>
              <w:t>80</w:t>
            </w:r>
            <w:r w:rsidRPr="009E10CF">
              <w:rPr>
                <w:rFonts w:ascii="Arial" w:hAnsi="Arial" w:cs="Arial"/>
                <w:sz w:val="18"/>
                <w:szCs w:val="18"/>
              </w:rPr>
              <w:t>,</w:t>
            </w:r>
            <w:r w:rsidR="009C518D">
              <w:rPr>
                <w:rFonts w:ascii="Arial" w:hAnsi="Arial" w:cs="Arial"/>
                <w:sz w:val="18"/>
                <w:szCs w:val="18"/>
              </w:rPr>
              <w:t>000</w:t>
            </w:r>
            <w:r w:rsidRPr="009E10CF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9E10CF" w:rsidRPr="00B73E97" w:rsidTr="0058522A">
        <w:trPr>
          <w:trHeight w:val="288"/>
          <w:jc w:val="center"/>
        </w:trPr>
        <w:tc>
          <w:tcPr>
            <w:tcW w:w="3734" w:type="pct"/>
            <w:noWrap/>
            <w:vAlign w:val="center"/>
            <w:hideMark/>
          </w:tcPr>
          <w:p w:rsidR="009E10CF" w:rsidRPr="00B73E97" w:rsidRDefault="009E10CF" w:rsidP="009E10CF">
            <w:pPr>
              <w:ind w:left="341"/>
              <w:rPr>
                <w:rFonts w:ascii="Arial" w:eastAsia="Times New Roman" w:hAnsi="Arial" w:cs="Arial"/>
                <w:sz w:val="20"/>
                <w:szCs w:val="18"/>
              </w:rPr>
            </w:pP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12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თვის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ვადიანობის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სახაზინო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ვალდებულებები</w:t>
            </w:r>
          </w:p>
        </w:tc>
        <w:tc>
          <w:tcPr>
            <w:tcW w:w="1266" w:type="pct"/>
            <w:vAlign w:val="center"/>
            <w:hideMark/>
          </w:tcPr>
          <w:p w:rsidR="009E10CF" w:rsidRDefault="009C518D" w:rsidP="009C518D">
            <w:pPr>
              <w:ind w:right="45"/>
              <w:jc w:val="right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680</w:t>
            </w:r>
            <w:r w:rsidR="009E10CF">
              <w:rPr>
                <w:rFonts w:ascii="Arial" w:hAnsi="Arial" w:cs="Arial"/>
                <w:color w:val="444444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000</w:t>
            </w:r>
            <w:r w:rsidR="009E10CF">
              <w:rPr>
                <w:rFonts w:ascii="Arial" w:hAnsi="Arial" w:cs="Arial"/>
                <w:color w:val="444444"/>
                <w:sz w:val="18"/>
                <w:szCs w:val="18"/>
              </w:rPr>
              <w:t>.0</w:t>
            </w:r>
          </w:p>
        </w:tc>
      </w:tr>
      <w:tr w:rsidR="009E10CF" w:rsidRPr="00B73E97" w:rsidTr="0058522A">
        <w:trPr>
          <w:trHeight w:val="288"/>
          <w:jc w:val="center"/>
        </w:trPr>
        <w:tc>
          <w:tcPr>
            <w:tcW w:w="3734" w:type="pct"/>
            <w:noWrap/>
            <w:vAlign w:val="center"/>
            <w:hideMark/>
          </w:tcPr>
          <w:p w:rsidR="009E10CF" w:rsidRPr="00B73E97" w:rsidRDefault="009E10CF" w:rsidP="009E10CF">
            <w:pPr>
              <w:ind w:left="341"/>
              <w:rPr>
                <w:rFonts w:ascii="Arial" w:eastAsia="Times New Roman" w:hAnsi="Arial" w:cs="Arial"/>
                <w:sz w:val="20"/>
                <w:szCs w:val="18"/>
                <w:lang w:val="ka-GE"/>
              </w:rPr>
            </w:pP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2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წლის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ვადიანობის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სახაზინო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ობლიგაციები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</w:p>
        </w:tc>
        <w:tc>
          <w:tcPr>
            <w:tcW w:w="1266" w:type="pct"/>
            <w:vAlign w:val="center"/>
            <w:hideMark/>
          </w:tcPr>
          <w:p w:rsidR="009E10CF" w:rsidRDefault="009E10CF" w:rsidP="008739E5">
            <w:pPr>
              <w:ind w:right="45"/>
              <w:jc w:val="right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1,39</w:t>
            </w:r>
            <w:r w:rsidR="008739E5">
              <w:rPr>
                <w:rFonts w:ascii="Arial" w:hAnsi="Arial" w:cs="Arial"/>
                <w:color w:val="444444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,0</w:t>
            </w:r>
            <w:r w:rsidR="008739E5">
              <w:rPr>
                <w:rFonts w:ascii="Arial" w:hAnsi="Arial" w:cs="Arial"/>
                <w:color w:val="444444"/>
                <w:sz w:val="18"/>
                <w:szCs w:val="18"/>
              </w:rPr>
              <w:t>00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.0</w:t>
            </w:r>
          </w:p>
        </w:tc>
      </w:tr>
      <w:tr w:rsidR="009E10CF" w:rsidRPr="00B73E97" w:rsidTr="0058522A">
        <w:trPr>
          <w:trHeight w:val="288"/>
          <w:jc w:val="center"/>
        </w:trPr>
        <w:tc>
          <w:tcPr>
            <w:tcW w:w="3734" w:type="pct"/>
            <w:noWrap/>
            <w:vAlign w:val="center"/>
            <w:hideMark/>
          </w:tcPr>
          <w:p w:rsidR="009E10CF" w:rsidRPr="00B73E97" w:rsidRDefault="009E10CF" w:rsidP="009E10CF">
            <w:pPr>
              <w:ind w:left="341"/>
              <w:rPr>
                <w:rFonts w:ascii="Arial" w:eastAsia="Times New Roman" w:hAnsi="Arial" w:cs="Arial"/>
                <w:sz w:val="20"/>
                <w:szCs w:val="18"/>
                <w:lang w:val="ka-GE"/>
              </w:rPr>
            </w:pP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5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წლის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ვადიანობის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სახაზინო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ობლიგაციები</w:t>
            </w:r>
          </w:p>
        </w:tc>
        <w:tc>
          <w:tcPr>
            <w:tcW w:w="1266" w:type="pct"/>
            <w:vAlign w:val="center"/>
            <w:hideMark/>
          </w:tcPr>
          <w:p w:rsidR="009E10CF" w:rsidRDefault="009E10CF" w:rsidP="008739E5">
            <w:pPr>
              <w:ind w:right="45"/>
              <w:jc w:val="right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2,</w:t>
            </w:r>
            <w:r w:rsidR="008739E5">
              <w:rPr>
                <w:rFonts w:ascii="Arial" w:hAnsi="Arial" w:cs="Arial"/>
                <w:color w:val="444444"/>
                <w:sz w:val="18"/>
                <w:szCs w:val="18"/>
              </w:rPr>
              <w:t>088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,</w:t>
            </w:r>
            <w:r w:rsidR="008739E5">
              <w:rPr>
                <w:rFonts w:ascii="Arial" w:hAnsi="Arial" w:cs="Arial"/>
                <w:color w:val="444444"/>
                <w:sz w:val="18"/>
                <w:szCs w:val="18"/>
              </w:rPr>
              <w:t>000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.0</w:t>
            </w:r>
          </w:p>
        </w:tc>
      </w:tr>
      <w:tr w:rsidR="009E10CF" w:rsidRPr="00B73E97" w:rsidTr="0058522A">
        <w:trPr>
          <w:trHeight w:val="288"/>
          <w:jc w:val="center"/>
        </w:trPr>
        <w:tc>
          <w:tcPr>
            <w:tcW w:w="3734" w:type="pct"/>
            <w:noWrap/>
            <w:vAlign w:val="center"/>
            <w:hideMark/>
          </w:tcPr>
          <w:p w:rsidR="009E10CF" w:rsidRPr="00B73E97" w:rsidRDefault="009E10CF" w:rsidP="009E10CF">
            <w:pPr>
              <w:ind w:left="341"/>
              <w:rPr>
                <w:rFonts w:ascii="Arial" w:eastAsia="Times New Roman" w:hAnsi="Arial" w:cs="Arial"/>
                <w:sz w:val="20"/>
                <w:szCs w:val="18"/>
                <w:lang w:val="ka-GE"/>
              </w:rPr>
            </w:pP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10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წლის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ვადიანობის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სახაზინო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ობლიგაციები</w:t>
            </w:r>
          </w:p>
        </w:tc>
        <w:tc>
          <w:tcPr>
            <w:tcW w:w="1266" w:type="pct"/>
            <w:vAlign w:val="center"/>
            <w:hideMark/>
          </w:tcPr>
          <w:p w:rsidR="009E10CF" w:rsidRDefault="009E10CF" w:rsidP="008739E5">
            <w:pPr>
              <w:ind w:right="45"/>
              <w:jc w:val="right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1,</w:t>
            </w:r>
            <w:r w:rsidR="008739E5">
              <w:rPr>
                <w:rFonts w:ascii="Arial" w:hAnsi="Arial" w:cs="Arial"/>
                <w:color w:val="444444"/>
                <w:sz w:val="18"/>
                <w:szCs w:val="18"/>
              </w:rPr>
              <w:t>236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,</w:t>
            </w:r>
            <w:r w:rsidR="008739E5">
              <w:rPr>
                <w:rFonts w:ascii="Arial" w:hAnsi="Arial" w:cs="Arial"/>
                <w:color w:val="444444"/>
                <w:sz w:val="18"/>
                <w:szCs w:val="18"/>
              </w:rPr>
              <w:t>818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.0</w:t>
            </w:r>
          </w:p>
        </w:tc>
      </w:tr>
      <w:tr w:rsidR="009E10CF" w:rsidRPr="00B73E97" w:rsidTr="0058522A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:rsidR="009E10CF" w:rsidRPr="00B73E97" w:rsidRDefault="009E10CF" w:rsidP="009E10CF">
            <w:pPr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  <w:proofErr w:type="spellStart"/>
            <w:r w:rsidRPr="00B73E97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>სხვა</w:t>
            </w:r>
            <w:proofErr w:type="spellEnd"/>
            <w:r w:rsidRPr="00B73E97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B73E97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>ფასიანი</w:t>
            </w:r>
            <w:proofErr w:type="spellEnd"/>
            <w:r w:rsidRPr="00B73E97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B73E97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>ქაღალდები</w:t>
            </w:r>
            <w:proofErr w:type="spellEnd"/>
          </w:p>
        </w:tc>
        <w:tc>
          <w:tcPr>
            <w:tcW w:w="1266" w:type="pct"/>
            <w:vAlign w:val="center"/>
          </w:tcPr>
          <w:p w:rsidR="009E10CF" w:rsidRPr="009E10CF" w:rsidRDefault="008739E5" w:rsidP="009E10CF">
            <w:pPr>
              <w:ind w:right="45" w:firstLineChars="100" w:firstLine="201"/>
              <w:jc w:val="right"/>
              <w:rPr>
                <w:rFonts w:ascii="Nino" w:hAnsi="Nino" w:cs="Calibri"/>
                <w:b/>
                <w:bCs/>
                <w:sz w:val="20"/>
                <w:szCs w:val="20"/>
              </w:rPr>
            </w:pPr>
            <w:r>
              <w:rPr>
                <w:rFonts w:ascii="Nino" w:hAnsi="Nino" w:cs="Calibri"/>
                <w:b/>
                <w:bCs/>
                <w:sz w:val="20"/>
                <w:szCs w:val="20"/>
              </w:rPr>
              <w:t>360,846.0</w:t>
            </w:r>
          </w:p>
        </w:tc>
      </w:tr>
      <w:tr w:rsidR="009E10CF" w:rsidRPr="00B73E97" w:rsidTr="0058522A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:rsidR="009E10CF" w:rsidRPr="00B73E97" w:rsidRDefault="009E10CF" w:rsidP="009E10CF">
            <w:pPr>
              <w:ind w:left="341"/>
              <w:rPr>
                <w:rFonts w:ascii="Arial" w:eastAsia="Times New Roman" w:hAnsi="Arial" w:cs="Arial"/>
                <w:sz w:val="20"/>
                <w:szCs w:val="18"/>
                <w:lang w:val="ka-GE"/>
              </w:rPr>
            </w:pP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ობლიგაცია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სებ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>-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სთვის</w:t>
            </w:r>
          </w:p>
        </w:tc>
        <w:tc>
          <w:tcPr>
            <w:tcW w:w="1266" w:type="pct"/>
            <w:vAlign w:val="center"/>
            <w:hideMark/>
          </w:tcPr>
          <w:p w:rsidR="009E10CF" w:rsidRDefault="008739E5" w:rsidP="009E10CF">
            <w:pPr>
              <w:ind w:right="45"/>
              <w:jc w:val="right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200,846.0</w:t>
            </w:r>
          </w:p>
        </w:tc>
      </w:tr>
      <w:tr w:rsidR="009E10CF" w:rsidRPr="00B73E97" w:rsidTr="0058522A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:rsidR="009E10CF" w:rsidRPr="00B73E97" w:rsidRDefault="009E10CF" w:rsidP="009E10CF">
            <w:pPr>
              <w:ind w:left="341"/>
              <w:rPr>
                <w:rFonts w:ascii="Arial" w:eastAsia="Times New Roman" w:hAnsi="Arial" w:cs="Arial"/>
                <w:sz w:val="20"/>
                <w:szCs w:val="18"/>
                <w:lang w:val="ka-GE"/>
              </w:rPr>
            </w:pP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ობლიგაციები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ღია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ბაზრის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ოპერაციებისთვის</w:t>
            </w:r>
          </w:p>
        </w:tc>
        <w:tc>
          <w:tcPr>
            <w:tcW w:w="1266" w:type="pct"/>
            <w:vAlign w:val="center"/>
            <w:hideMark/>
          </w:tcPr>
          <w:p w:rsidR="009E10CF" w:rsidRDefault="008739E5" w:rsidP="009E10CF">
            <w:pPr>
              <w:ind w:right="45"/>
              <w:jc w:val="right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160,000.0</w:t>
            </w:r>
          </w:p>
        </w:tc>
      </w:tr>
      <w:tr w:rsidR="009E10CF" w:rsidRPr="009E10CF" w:rsidTr="0058522A">
        <w:trPr>
          <w:trHeight w:val="288"/>
          <w:jc w:val="center"/>
        </w:trPr>
        <w:tc>
          <w:tcPr>
            <w:tcW w:w="3734" w:type="pct"/>
            <w:vAlign w:val="center"/>
          </w:tcPr>
          <w:p w:rsidR="009E10CF" w:rsidRPr="009E10CF" w:rsidRDefault="009E10CF" w:rsidP="009E10CF">
            <w:pPr>
              <w:rPr>
                <w:rFonts w:ascii="Sylfaen" w:eastAsia="Times New Roman" w:hAnsi="Sylfaen" w:cs="Sylfaen"/>
                <w:b/>
                <w:bCs/>
                <w:sz w:val="20"/>
                <w:szCs w:val="18"/>
                <w:lang w:val="ka-GE"/>
              </w:rPr>
            </w:pPr>
            <w:proofErr w:type="spellStart"/>
            <w:r w:rsidRPr="009E10CF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>საბიუჯეტო</w:t>
            </w:r>
            <w:proofErr w:type="spellEnd"/>
            <w:r w:rsidRPr="009E10CF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9E10CF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>ორგანიზაციების</w:t>
            </w:r>
            <w:proofErr w:type="spellEnd"/>
            <w:r w:rsidRPr="009E10CF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9E10CF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>სესხის</w:t>
            </w:r>
            <w:proofErr w:type="spellEnd"/>
            <w:r w:rsidRPr="009E10CF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9E10CF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>სახით</w:t>
            </w:r>
            <w:proofErr w:type="spellEnd"/>
            <w:r w:rsidRPr="009E10CF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9E10CF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>არსებულ</w:t>
            </w:r>
            <w:proofErr w:type="spellEnd"/>
            <w:r w:rsidRPr="009E10CF">
              <w:rPr>
                <w:rFonts w:ascii="Sylfaen" w:eastAsia="Times New Roman" w:hAnsi="Sylfaen" w:cs="Sylfaen"/>
                <w:b/>
                <w:bCs/>
                <w:sz w:val="20"/>
                <w:szCs w:val="18"/>
                <w:lang w:val="ka-GE"/>
              </w:rPr>
              <w:t>ი ვალის</w:t>
            </w:r>
            <w:r w:rsidRPr="009E10CF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9E10CF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>ნაშ</w:t>
            </w:r>
            <w:proofErr w:type="spellEnd"/>
            <w:r w:rsidRPr="009E10CF">
              <w:rPr>
                <w:rFonts w:ascii="Sylfaen" w:eastAsia="Times New Roman" w:hAnsi="Sylfaen" w:cs="Sylfaen"/>
                <w:b/>
                <w:bCs/>
                <w:sz w:val="20"/>
                <w:szCs w:val="18"/>
                <w:lang w:val="ka-GE"/>
              </w:rPr>
              <w:t>თი</w:t>
            </w:r>
          </w:p>
        </w:tc>
        <w:tc>
          <w:tcPr>
            <w:tcW w:w="1266" w:type="pct"/>
            <w:vAlign w:val="center"/>
          </w:tcPr>
          <w:p w:rsidR="009E10CF" w:rsidRPr="009E10CF" w:rsidRDefault="009E10CF" w:rsidP="008739E5">
            <w:pPr>
              <w:ind w:right="45" w:firstLineChars="100" w:firstLine="201"/>
              <w:jc w:val="right"/>
              <w:rPr>
                <w:rFonts w:ascii="Nino" w:hAnsi="Nino" w:cs="Calibri"/>
                <w:b/>
                <w:bCs/>
                <w:sz w:val="20"/>
                <w:szCs w:val="20"/>
              </w:rPr>
            </w:pPr>
            <w:r w:rsidRPr="009E10CF">
              <w:rPr>
                <w:rFonts w:ascii="Nino" w:hAnsi="Nino" w:cs="Calibri"/>
                <w:b/>
                <w:bCs/>
                <w:sz w:val="20"/>
                <w:szCs w:val="20"/>
              </w:rPr>
              <w:t>15,756.3</w:t>
            </w:r>
          </w:p>
        </w:tc>
      </w:tr>
    </w:tbl>
    <w:p w:rsidR="00B404A9" w:rsidRPr="008739E5" w:rsidRDefault="00B404A9" w:rsidP="00B40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8739E5">
        <w:rPr>
          <w:rFonts w:ascii="Sylfaen" w:hAnsi="Sylfaen"/>
          <w:lang w:val="ka-GE"/>
        </w:rPr>
        <w:lastRenderedPageBreak/>
        <w:t>202</w:t>
      </w:r>
      <w:r w:rsidR="003B0642" w:rsidRPr="008739E5">
        <w:rPr>
          <w:rFonts w:ascii="Sylfaen" w:hAnsi="Sylfaen"/>
        </w:rPr>
        <w:t>1</w:t>
      </w:r>
      <w:r w:rsidRPr="008739E5">
        <w:rPr>
          <w:lang w:val="ka-GE"/>
        </w:rPr>
        <w:t xml:space="preserve"> </w:t>
      </w:r>
      <w:proofErr w:type="spellStart"/>
      <w:r w:rsidRPr="008739E5">
        <w:rPr>
          <w:rFonts w:ascii="Sylfaen" w:hAnsi="Sylfaen" w:cs="Sylfaen"/>
        </w:rPr>
        <w:t>წლის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სახელმწიფო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ბიუჯეტის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პროექტი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ითვალისწინებს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საშინაო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ვალდებულებების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მოსალოდნელ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კლებას</w:t>
      </w:r>
      <w:proofErr w:type="spellEnd"/>
      <w:r w:rsidRPr="008739E5">
        <w:t xml:space="preserve"> </w:t>
      </w:r>
      <w:r w:rsidRPr="008739E5">
        <w:rPr>
          <w:rFonts w:ascii="Sylfaen" w:hAnsi="Sylfaen"/>
          <w:lang w:val="ka-GE"/>
        </w:rPr>
        <w:t>1 7</w:t>
      </w:r>
      <w:r w:rsidR="005B3272" w:rsidRPr="008739E5">
        <w:rPr>
          <w:rFonts w:ascii="Sylfaen" w:hAnsi="Sylfaen"/>
          <w:lang w:val="ka-GE"/>
        </w:rPr>
        <w:t>0</w:t>
      </w:r>
      <w:r w:rsidRPr="008739E5">
        <w:rPr>
          <w:rFonts w:ascii="Sylfaen" w:hAnsi="Sylfaen"/>
          <w:lang w:val="ka-GE"/>
        </w:rPr>
        <w:t>0 000</w:t>
      </w:r>
      <w:r w:rsidRPr="008739E5">
        <w:rPr>
          <w:rFonts w:ascii="Sylfaen" w:hAnsi="Sylfaen"/>
        </w:rPr>
        <w:t>.0</w:t>
      </w:r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ათასი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ლარის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ოდენობით</w:t>
      </w:r>
      <w:proofErr w:type="spellEnd"/>
      <w:r w:rsidRPr="008739E5">
        <w:t xml:space="preserve">, </w:t>
      </w:r>
      <w:proofErr w:type="spellStart"/>
      <w:r w:rsidRPr="008739E5">
        <w:rPr>
          <w:rFonts w:ascii="Sylfaen" w:hAnsi="Sylfaen" w:cs="Sylfaen"/>
        </w:rPr>
        <w:t>მათ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შორის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სახაზინო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ვალდებულებების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და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სახაზინო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ობლიგაციების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ძირითადი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თანხის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დაფარვას</w:t>
      </w:r>
      <w:proofErr w:type="spellEnd"/>
      <w:r w:rsidRPr="008739E5">
        <w:t xml:space="preserve"> - </w:t>
      </w:r>
      <w:r w:rsidRPr="008739E5">
        <w:rPr>
          <w:rFonts w:ascii="Sylfaen" w:hAnsi="Sylfaen"/>
          <w:lang w:val="ka-GE"/>
        </w:rPr>
        <w:t xml:space="preserve">1 </w:t>
      </w:r>
      <w:r w:rsidRPr="008739E5">
        <w:rPr>
          <w:rFonts w:ascii="Sylfaen" w:hAnsi="Sylfaen"/>
        </w:rPr>
        <w:t>6</w:t>
      </w:r>
      <w:r w:rsidR="005B3272" w:rsidRPr="008739E5">
        <w:rPr>
          <w:rFonts w:ascii="Sylfaen" w:hAnsi="Sylfaen"/>
          <w:lang w:val="ka-GE"/>
        </w:rPr>
        <w:t>6</w:t>
      </w:r>
      <w:r w:rsidRPr="008739E5">
        <w:rPr>
          <w:rFonts w:ascii="Sylfaen" w:hAnsi="Sylfaen"/>
          <w:lang w:val="ka-GE"/>
        </w:rPr>
        <w:t>0 000</w:t>
      </w:r>
      <w:r w:rsidRPr="008739E5">
        <w:rPr>
          <w:rFonts w:ascii="Sylfaen" w:hAnsi="Sylfaen"/>
        </w:rPr>
        <w:t>.0</w:t>
      </w:r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ათასი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ლარის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ოდენობით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და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სახელმწიფო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ობლიგაციების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ძირითადი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თანხის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დაფარვას</w:t>
      </w:r>
      <w:proofErr w:type="spellEnd"/>
      <w:r w:rsidRPr="008739E5">
        <w:t xml:space="preserve"> (</w:t>
      </w:r>
      <w:proofErr w:type="spellStart"/>
      <w:r w:rsidRPr="008739E5">
        <w:rPr>
          <w:rFonts w:ascii="Sylfaen" w:hAnsi="Sylfaen" w:cs="Sylfaen"/>
        </w:rPr>
        <w:t>სებ</w:t>
      </w:r>
      <w:r w:rsidRPr="008739E5">
        <w:t>-</w:t>
      </w:r>
      <w:r w:rsidRPr="008739E5">
        <w:rPr>
          <w:rFonts w:ascii="Sylfaen" w:hAnsi="Sylfaen" w:cs="Sylfaen"/>
        </w:rPr>
        <w:t>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მიმართ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ვალი</w:t>
      </w:r>
      <w:proofErr w:type="spellEnd"/>
      <w:r w:rsidRPr="008739E5">
        <w:t xml:space="preserve">) – </w:t>
      </w:r>
      <w:r w:rsidRPr="008739E5">
        <w:rPr>
          <w:rFonts w:ascii="Sylfaen" w:hAnsi="Sylfaen"/>
          <w:lang w:val="ka-GE"/>
        </w:rPr>
        <w:t>40 000</w:t>
      </w:r>
      <w:r w:rsidRPr="008739E5">
        <w:rPr>
          <w:rFonts w:ascii="Sylfaen" w:hAnsi="Sylfaen"/>
        </w:rPr>
        <w:t>.0</w:t>
      </w:r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ათასი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ლარის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ოდენობით</w:t>
      </w:r>
      <w:proofErr w:type="spellEnd"/>
      <w:r w:rsidRPr="008739E5">
        <w:t xml:space="preserve">, </w:t>
      </w:r>
      <w:proofErr w:type="spellStart"/>
      <w:r w:rsidRPr="008739E5">
        <w:rPr>
          <w:rFonts w:ascii="Sylfaen" w:hAnsi="Sylfaen" w:cs="Sylfaen"/>
        </w:rPr>
        <w:t>საქართველოს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მთავრობის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და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საქართველოს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ეროვნული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ბანკის</w:t>
      </w:r>
      <w:proofErr w:type="spellEnd"/>
      <w:r w:rsidRPr="008739E5">
        <w:t xml:space="preserve"> 2006 </w:t>
      </w:r>
      <w:proofErr w:type="spellStart"/>
      <w:r w:rsidRPr="008739E5">
        <w:rPr>
          <w:rFonts w:ascii="Sylfaen" w:hAnsi="Sylfaen" w:cs="Sylfaen"/>
        </w:rPr>
        <w:t>წლის</w:t>
      </w:r>
      <w:proofErr w:type="spellEnd"/>
      <w:r w:rsidRPr="008739E5">
        <w:t xml:space="preserve"> 15 </w:t>
      </w:r>
      <w:proofErr w:type="spellStart"/>
      <w:r w:rsidRPr="008739E5">
        <w:rPr>
          <w:rFonts w:ascii="Sylfaen" w:hAnsi="Sylfaen" w:cs="Sylfaen"/>
        </w:rPr>
        <w:t>მაისის</w:t>
      </w:r>
      <w:proofErr w:type="spellEnd"/>
      <w:r w:rsidRPr="008739E5">
        <w:t xml:space="preserve"> „</w:t>
      </w:r>
      <w:proofErr w:type="spellStart"/>
      <w:r w:rsidRPr="008739E5">
        <w:rPr>
          <w:rFonts w:ascii="Sylfaen" w:hAnsi="Sylfaen" w:cs="Sylfaen"/>
        </w:rPr>
        <w:t>საქართველოს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მთავრობის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საქართველოს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ეროვნული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ბანკისადმი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დავალიანების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დაფარვის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ღონისძიებების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შესახებ</w:t>
      </w:r>
      <w:proofErr w:type="spellEnd"/>
      <w:r w:rsidRPr="008739E5">
        <w:t xml:space="preserve">“ 2006 </w:t>
      </w:r>
      <w:proofErr w:type="spellStart"/>
      <w:r w:rsidRPr="008739E5">
        <w:rPr>
          <w:rFonts w:ascii="Sylfaen" w:hAnsi="Sylfaen" w:cs="Sylfaen"/>
        </w:rPr>
        <w:t>წლის</w:t>
      </w:r>
      <w:proofErr w:type="spellEnd"/>
      <w:r w:rsidRPr="008739E5">
        <w:t xml:space="preserve"> 20 </w:t>
      </w:r>
      <w:proofErr w:type="spellStart"/>
      <w:r w:rsidRPr="008739E5">
        <w:rPr>
          <w:rFonts w:ascii="Sylfaen" w:hAnsi="Sylfaen" w:cs="Sylfaen"/>
        </w:rPr>
        <w:t>მარტის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შეთანხმებაში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ცვლილებების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შეტანის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თაობაზე</w:t>
      </w:r>
      <w:proofErr w:type="spellEnd"/>
      <w:r w:rsidRPr="008739E5">
        <w:t xml:space="preserve">“ </w:t>
      </w:r>
      <w:proofErr w:type="spellStart"/>
      <w:r w:rsidRPr="008739E5">
        <w:rPr>
          <w:rFonts w:ascii="Sylfaen" w:hAnsi="Sylfaen" w:cs="Sylfaen"/>
        </w:rPr>
        <w:t>შეთანხმების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შესაბამისად</w:t>
      </w:r>
      <w:proofErr w:type="spellEnd"/>
      <w:r w:rsidRPr="008739E5">
        <w:t xml:space="preserve">. </w:t>
      </w:r>
    </w:p>
    <w:p w:rsidR="00DB15D9" w:rsidRPr="008739E5" w:rsidRDefault="00B404A9" w:rsidP="00B40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</w:rPr>
      </w:pPr>
      <w:r w:rsidRPr="008739E5">
        <w:rPr>
          <w:rFonts w:ascii="Sylfaen" w:hAnsi="Sylfaen" w:cs="Sylfaen"/>
        </w:rPr>
        <w:t>202</w:t>
      </w:r>
      <w:r w:rsidR="005B3272" w:rsidRPr="008739E5">
        <w:rPr>
          <w:rFonts w:ascii="Sylfaen" w:hAnsi="Sylfaen" w:cs="Sylfaen"/>
          <w:lang w:val="ka-GE"/>
        </w:rPr>
        <w:t>1</w:t>
      </w:r>
      <w:r w:rsidRPr="008739E5">
        <w:rPr>
          <w:rFonts w:ascii="Sylfaen" w:hAnsi="Sylfaen" w:cs="Sylfaen"/>
        </w:rPr>
        <w:t xml:space="preserve"> </w:t>
      </w:r>
      <w:proofErr w:type="spellStart"/>
      <w:r w:rsidRPr="008739E5">
        <w:rPr>
          <w:rFonts w:ascii="Sylfaen" w:hAnsi="Sylfaen" w:cs="Sylfaen"/>
        </w:rPr>
        <w:t>წლის</w:t>
      </w:r>
      <w:proofErr w:type="spellEnd"/>
      <w:r w:rsidRPr="008739E5">
        <w:rPr>
          <w:rFonts w:ascii="Sylfaen" w:hAnsi="Sylfaen" w:cs="Sylfaen"/>
        </w:rPr>
        <w:t xml:space="preserve"> </w:t>
      </w:r>
      <w:proofErr w:type="spellStart"/>
      <w:r w:rsidRPr="008739E5">
        <w:rPr>
          <w:rFonts w:ascii="Sylfaen" w:hAnsi="Sylfaen" w:cs="Sylfaen"/>
        </w:rPr>
        <w:t>განმავლობაში</w:t>
      </w:r>
      <w:proofErr w:type="spellEnd"/>
      <w:r w:rsidRPr="008739E5">
        <w:rPr>
          <w:rFonts w:ascii="Sylfaen" w:hAnsi="Sylfaen" w:cs="Sylfaen"/>
        </w:rPr>
        <w:t xml:space="preserve"> </w:t>
      </w:r>
      <w:proofErr w:type="spellStart"/>
      <w:r w:rsidR="00DB15D9" w:rsidRPr="008739E5">
        <w:rPr>
          <w:rFonts w:ascii="Sylfaen" w:hAnsi="Sylfaen" w:cs="Sylfaen"/>
        </w:rPr>
        <w:t>სახაზინო</w:t>
      </w:r>
      <w:proofErr w:type="spellEnd"/>
      <w:r w:rsidR="00DB15D9" w:rsidRPr="008739E5">
        <w:rPr>
          <w:rFonts w:ascii="Sylfaen" w:hAnsi="Sylfaen" w:cs="Sylfaen"/>
        </w:rPr>
        <w:t xml:space="preserve"> </w:t>
      </w:r>
      <w:proofErr w:type="spellStart"/>
      <w:r w:rsidR="00DB15D9" w:rsidRPr="008739E5">
        <w:rPr>
          <w:rFonts w:ascii="Sylfaen" w:hAnsi="Sylfaen" w:cs="Sylfaen"/>
        </w:rPr>
        <w:t>ვალდებულებებისა</w:t>
      </w:r>
      <w:proofErr w:type="spellEnd"/>
      <w:r w:rsidR="00DB15D9" w:rsidRPr="008739E5">
        <w:rPr>
          <w:rFonts w:ascii="Sylfaen" w:hAnsi="Sylfaen" w:cs="Sylfaen"/>
        </w:rPr>
        <w:t xml:space="preserve"> </w:t>
      </w:r>
      <w:proofErr w:type="spellStart"/>
      <w:r w:rsidR="00DB15D9" w:rsidRPr="008739E5">
        <w:rPr>
          <w:rFonts w:ascii="Sylfaen" w:hAnsi="Sylfaen" w:cs="Sylfaen"/>
        </w:rPr>
        <w:t>და</w:t>
      </w:r>
      <w:proofErr w:type="spellEnd"/>
      <w:r w:rsidR="00DB15D9" w:rsidRPr="008739E5">
        <w:rPr>
          <w:rFonts w:ascii="Sylfaen" w:hAnsi="Sylfaen" w:cs="Sylfaen"/>
        </w:rPr>
        <w:t xml:space="preserve"> </w:t>
      </w:r>
      <w:proofErr w:type="spellStart"/>
      <w:r w:rsidR="00DB15D9" w:rsidRPr="008739E5">
        <w:rPr>
          <w:rFonts w:ascii="Sylfaen" w:hAnsi="Sylfaen" w:cs="Sylfaen"/>
        </w:rPr>
        <w:t>სახაზინო</w:t>
      </w:r>
      <w:proofErr w:type="spellEnd"/>
      <w:r w:rsidR="00DB15D9" w:rsidRPr="008739E5">
        <w:rPr>
          <w:rFonts w:ascii="Sylfaen" w:hAnsi="Sylfaen" w:cs="Sylfaen"/>
        </w:rPr>
        <w:t xml:space="preserve"> </w:t>
      </w:r>
      <w:proofErr w:type="spellStart"/>
      <w:r w:rsidR="00DB15D9" w:rsidRPr="008739E5">
        <w:rPr>
          <w:rFonts w:ascii="Sylfaen" w:hAnsi="Sylfaen" w:cs="Sylfaen"/>
        </w:rPr>
        <w:t>ობლიგაციების</w:t>
      </w:r>
      <w:proofErr w:type="spellEnd"/>
      <w:r w:rsidR="00DB15D9" w:rsidRPr="008739E5">
        <w:rPr>
          <w:rFonts w:ascii="Sylfaen" w:hAnsi="Sylfaen" w:cs="Sylfaen"/>
        </w:rPr>
        <w:t xml:space="preserve"> </w:t>
      </w:r>
      <w:proofErr w:type="spellStart"/>
      <w:r w:rsidR="00DB15D9" w:rsidRPr="008739E5">
        <w:rPr>
          <w:rFonts w:ascii="Sylfaen" w:hAnsi="Sylfaen" w:cs="Sylfaen"/>
        </w:rPr>
        <w:t>გამოშვებით</w:t>
      </w:r>
      <w:proofErr w:type="spellEnd"/>
      <w:r w:rsidR="00DB15D9" w:rsidRPr="008739E5">
        <w:rPr>
          <w:rFonts w:ascii="Sylfaen" w:hAnsi="Sylfaen" w:cs="Sylfaen"/>
        </w:rPr>
        <w:t xml:space="preserve"> </w:t>
      </w:r>
      <w:proofErr w:type="spellStart"/>
      <w:r w:rsidR="00DB15D9" w:rsidRPr="008739E5">
        <w:rPr>
          <w:rFonts w:ascii="Sylfaen" w:hAnsi="Sylfaen" w:cs="Sylfaen"/>
        </w:rPr>
        <w:t>საშინაო</w:t>
      </w:r>
      <w:proofErr w:type="spellEnd"/>
      <w:r w:rsidR="00DB15D9" w:rsidRPr="008739E5">
        <w:rPr>
          <w:rFonts w:ascii="Sylfaen" w:hAnsi="Sylfaen" w:cs="Sylfaen"/>
        </w:rPr>
        <w:t xml:space="preserve"> </w:t>
      </w:r>
      <w:proofErr w:type="spellStart"/>
      <w:r w:rsidR="00DB15D9" w:rsidRPr="008739E5">
        <w:rPr>
          <w:rFonts w:ascii="Sylfaen" w:hAnsi="Sylfaen" w:cs="Sylfaen"/>
        </w:rPr>
        <w:t>ვალდებულებების</w:t>
      </w:r>
      <w:proofErr w:type="spellEnd"/>
      <w:r w:rsidR="00DB15D9" w:rsidRPr="008739E5">
        <w:rPr>
          <w:rFonts w:ascii="Sylfaen" w:hAnsi="Sylfaen" w:cs="Sylfaen"/>
        </w:rPr>
        <w:t xml:space="preserve"> </w:t>
      </w:r>
      <w:proofErr w:type="spellStart"/>
      <w:r w:rsidR="00DB15D9" w:rsidRPr="008739E5">
        <w:rPr>
          <w:rFonts w:ascii="Sylfaen" w:hAnsi="Sylfaen" w:cs="Sylfaen"/>
        </w:rPr>
        <w:t>ზრდის</w:t>
      </w:r>
      <w:proofErr w:type="spellEnd"/>
      <w:r w:rsidR="00DB15D9" w:rsidRPr="008739E5">
        <w:rPr>
          <w:rFonts w:ascii="Sylfaen" w:hAnsi="Sylfaen" w:cs="Sylfaen"/>
        </w:rPr>
        <w:t xml:space="preserve"> </w:t>
      </w:r>
      <w:proofErr w:type="spellStart"/>
      <w:r w:rsidR="00DB15D9" w:rsidRPr="008739E5">
        <w:rPr>
          <w:rFonts w:ascii="Sylfaen" w:hAnsi="Sylfaen" w:cs="Sylfaen"/>
        </w:rPr>
        <w:t>საპროგნოზო</w:t>
      </w:r>
      <w:proofErr w:type="spellEnd"/>
      <w:r w:rsidR="00DB15D9" w:rsidRPr="008739E5">
        <w:rPr>
          <w:rFonts w:ascii="Sylfaen" w:hAnsi="Sylfaen" w:cs="Sylfaen"/>
        </w:rPr>
        <w:t xml:space="preserve"> </w:t>
      </w:r>
      <w:proofErr w:type="spellStart"/>
      <w:r w:rsidR="00DB15D9" w:rsidRPr="008739E5">
        <w:rPr>
          <w:rFonts w:ascii="Sylfaen" w:hAnsi="Sylfaen" w:cs="Sylfaen"/>
        </w:rPr>
        <w:t>მაჩვენებელი</w:t>
      </w:r>
      <w:proofErr w:type="spellEnd"/>
      <w:r w:rsidR="00DB15D9" w:rsidRPr="008739E5">
        <w:rPr>
          <w:rFonts w:ascii="Sylfaen" w:hAnsi="Sylfaen" w:cs="Sylfaen"/>
        </w:rPr>
        <w:t xml:space="preserve"> </w:t>
      </w:r>
      <w:proofErr w:type="spellStart"/>
      <w:r w:rsidR="00DB15D9" w:rsidRPr="008739E5">
        <w:rPr>
          <w:rFonts w:ascii="Sylfaen" w:hAnsi="Sylfaen" w:cs="Sylfaen"/>
        </w:rPr>
        <w:t>განისაზღვროს</w:t>
      </w:r>
      <w:proofErr w:type="spellEnd"/>
      <w:r w:rsidR="008739E5">
        <w:rPr>
          <w:rFonts w:ascii="Sylfaen" w:hAnsi="Sylfaen" w:cs="Sylfaen"/>
        </w:rPr>
        <w:t xml:space="preserve"> 0</w:t>
      </w:r>
      <w:r w:rsidR="00DB15D9" w:rsidRPr="008739E5">
        <w:rPr>
          <w:rFonts w:ascii="Sylfaen" w:hAnsi="Sylfaen" w:cs="Sylfaen"/>
        </w:rPr>
        <w:t xml:space="preserve">.0 </w:t>
      </w:r>
      <w:proofErr w:type="spellStart"/>
      <w:r w:rsidR="00DB15D9" w:rsidRPr="008739E5">
        <w:rPr>
          <w:rFonts w:ascii="Sylfaen" w:hAnsi="Sylfaen" w:cs="Sylfaen"/>
        </w:rPr>
        <w:t>ათასი</w:t>
      </w:r>
      <w:proofErr w:type="spellEnd"/>
      <w:r w:rsidR="00DB15D9" w:rsidRPr="008739E5">
        <w:rPr>
          <w:rFonts w:ascii="Sylfaen" w:hAnsi="Sylfaen" w:cs="Sylfaen"/>
        </w:rPr>
        <w:t xml:space="preserve"> </w:t>
      </w:r>
      <w:proofErr w:type="spellStart"/>
      <w:r w:rsidR="00DB15D9" w:rsidRPr="008739E5">
        <w:rPr>
          <w:rFonts w:ascii="Sylfaen" w:hAnsi="Sylfaen" w:cs="Sylfaen"/>
        </w:rPr>
        <w:t>ლარით</w:t>
      </w:r>
      <w:proofErr w:type="spellEnd"/>
      <w:r w:rsidR="00DB15D9" w:rsidRPr="008739E5">
        <w:rPr>
          <w:rFonts w:ascii="Sylfaen" w:hAnsi="Sylfaen" w:cs="Sylfaen"/>
        </w:rPr>
        <w:t xml:space="preserve">. </w:t>
      </w:r>
    </w:p>
    <w:p w:rsidR="00B404A9" w:rsidRPr="008739E5" w:rsidRDefault="00B404A9" w:rsidP="005B3272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8739E5">
        <w:rPr>
          <w:rFonts w:ascii="Sylfaen" w:hAnsi="Sylfaen" w:cs="Sylfaen"/>
          <w:lang w:val="ka-GE"/>
        </w:rPr>
        <w:t>202</w:t>
      </w:r>
      <w:r w:rsidR="005B3272" w:rsidRPr="008739E5">
        <w:rPr>
          <w:rFonts w:ascii="Sylfaen" w:hAnsi="Sylfaen" w:cs="Sylfaen"/>
          <w:lang w:val="ka-GE"/>
        </w:rPr>
        <w:t>1</w:t>
      </w:r>
      <w:r w:rsidRPr="008739E5">
        <w:rPr>
          <w:rFonts w:ascii="Sylfaen" w:hAnsi="Sylfaen" w:cs="Sylfaen"/>
          <w:lang w:val="ka-GE"/>
        </w:rPr>
        <w:t xml:space="preserve"> წლის </w:t>
      </w:r>
      <w:r w:rsidR="005B3272" w:rsidRPr="008739E5">
        <w:rPr>
          <w:rFonts w:ascii="Sylfaen" w:hAnsi="Sylfaen" w:cs="Sylfaen"/>
          <w:lang w:val="ka-GE"/>
        </w:rPr>
        <w:t>განმავლობაში</w:t>
      </w:r>
      <w:r w:rsidRPr="008739E5">
        <w:rPr>
          <w:rFonts w:ascii="Sylfaen" w:hAnsi="Sylfaen" w:cs="Sylfaen"/>
          <w:lang w:val="ka-GE"/>
        </w:rPr>
        <w:t xml:space="preserve"> </w:t>
      </w:r>
      <w:r w:rsidR="005B3272" w:rsidRPr="008739E5">
        <w:rPr>
          <w:rFonts w:ascii="Sylfaen" w:hAnsi="Sylfaen" w:cs="Sylfaen"/>
          <w:lang w:val="ka-GE"/>
        </w:rPr>
        <w:t xml:space="preserve">ისევ </w:t>
      </w:r>
      <w:r w:rsidRPr="008739E5">
        <w:rPr>
          <w:rFonts w:ascii="Sylfaen" w:hAnsi="Sylfaen" w:cs="Sylfaen"/>
          <w:lang w:val="ka-GE"/>
        </w:rPr>
        <w:t>იგეგმება გამოსყიდვის ოპერაციების გაგრძელება, რაც თავის მხრივ</w:t>
      </w:r>
      <w:r w:rsidR="00FE1A0F" w:rsidRPr="008739E5">
        <w:rPr>
          <w:rFonts w:ascii="Sylfaen" w:hAnsi="Sylfaen" w:cs="Sylfaen"/>
          <w:lang w:val="ka-GE"/>
        </w:rPr>
        <w:t>,</w:t>
      </w:r>
      <w:r w:rsidRPr="008739E5">
        <w:rPr>
          <w:rFonts w:ascii="Sylfaen" w:hAnsi="Sylfaen" w:cs="Sylfaen"/>
          <w:lang w:val="ka-GE"/>
        </w:rPr>
        <w:t xml:space="preserve"> </w:t>
      </w:r>
      <w:proofErr w:type="spellStart"/>
      <w:r w:rsidRPr="008739E5">
        <w:rPr>
          <w:rFonts w:ascii="Sylfaen" w:hAnsi="Sylfaen" w:cs="Sylfaen"/>
        </w:rPr>
        <w:t>გავლენას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მოახდენს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საშინაო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ვალდებულებების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ძირითადი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თანხის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დაფარვასა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და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მომსახურების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ხარჯზე</w:t>
      </w:r>
      <w:proofErr w:type="spellEnd"/>
      <w:r w:rsidRPr="008739E5">
        <w:t xml:space="preserve">. </w:t>
      </w:r>
    </w:p>
    <w:p w:rsidR="00B404A9" w:rsidRPr="008739E5" w:rsidRDefault="00B404A9" w:rsidP="00B40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 w:rsidRPr="008739E5">
        <w:rPr>
          <w:rFonts w:ascii="Sylfaen" w:hAnsi="Sylfaen"/>
          <w:lang w:val="ka-GE"/>
        </w:rPr>
        <w:t>202</w:t>
      </w:r>
      <w:r w:rsidR="003B0642" w:rsidRPr="008739E5">
        <w:rPr>
          <w:rFonts w:ascii="Sylfaen" w:hAnsi="Sylfaen"/>
        </w:rPr>
        <w:t>1</w:t>
      </w:r>
      <w:r w:rsidRPr="008739E5">
        <w:rPr>
          <w:lang w:val="ka-GE"/>
        </w:rPr>
        <w:t xml:space="preserve"> </w:t>
      </w:r>
      <w:proofErr w:type="spellStart"/>
      <w:r w:rsidRPr="008739E5">
        <w:rPr>
          <w:rFonts w:ascii="Sylfaen" w:hAnsi="Sylfaen" w:cs="Sylfaen"/>
        </w:rPr>
        <w:t>წლის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სახელმწიფო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ბიუჯეტის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კანონის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პროექტით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განსაზღვრული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საგარეო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და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საშინაო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ვალის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პარამეტრები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უზრუნველყოფენ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სახელმწიფო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ვალის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მდგრადობის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შენარჩუნებას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საშუალოვადიან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პერიოდში</w:t>
      </w:r>
      <w:proofErr w:type="spellEnd"/>
      <w:r w:rsidRPr="008739E5">
        <w:rPr>
          <w:rFonts w:ascii="Sylfaen" w:hAnsi="Sylfaen" w:cs="Sylfaen"/>
          <w:lang w:val="ka-GE"/>
        </w:rPr>
        <w:t>.</w:t>
      </w:r>
    </w:p>
    <w:p w:rsidR="00CD3703" w:rsidRDefault="00CD3703" w:rsidP="00CD3703">
      <w:pPr>
        <w:ind w:firstLine="720"/>
        <w:jc w:val="both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8739E5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 საშინაო ვალდებულებების პროცენტის მომსახურებისათვის საქართველოს</w:t>
      </w:r>
      <w:r w:rsidRPr="00696AF7">
        <w:rPr>
          <w:rFonts w:ascii="Sylfaen" w:hAnsi="Sylfaen" w:cs="Sylfaen"/>
          <w:szCs w:val="21"/>
          <w:shd w:val="clear" w:color="auto" w:fill="FFFFFF"/>
          <w:lang w:val="ka-GE"/>
        </w:rPr>
        <w:t xml:space="preserve"> 202</w:t>
      </w:r>
      <w:r w:rsidRPr="00696AF7">
        <w:rPr>
          <w:rFonts w:ascii="Sylfaen" w:hAnsi="Sylfaen" w:cs="Sylfaen"/>
          <w:szCs w:val="21"/>
          <w:shd w:val="clear" w:color="auto" w:fill="FFFFFF"/>
        </w:rPr>
        <w:t>1</w:t>
      </w:r>
      <w:r w:rsidRPr="00696AF7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სახელმწიფო ბიუჯეტის პროექტით გათვალისწინებულია</w:t>
      </w:r>
      <w:r w:rsidRPr="00696AF7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696AF7">
        <w:rPr>
          <w:rFonts w:ascii="Sylfaen" w:hAnsi="Sylfaen" w:cs="Sylfaen"/>
          <w:szCs w:val="21"/>
          <w:shd w:val="clear" w:color="auto" w:fill="FFFFFF"/>
          <w:lang w:val="ka-GE"/>
        </w:rPr>
        <w:t xml:space="preserve">530 </w:t>
      </w:r>
      <w:r w:rsidRPr="00696AF7">
        <w:rPr>
          <w:rFonts w:ascii="Sylfaen" w:hAnsi="Sylfaen" w:cs="Sylfaen"/>
          <w:szCs w:val="21"/>
          <w:shd w:val="clear" w:color="auto" w:fill="FFFFFF"/>
        </w:rPr>
        <w:t>000</w:t>
      </w:r>
      <w:r w:rsidR="008739E5">
        <w:rPr>
          <w:rFonts w:ascii="Sylfaen" w:hAnsi="Sylfaen" w:cs="Sylfaen"/>
          <w:szCs w:val="21"/>
          <w:shd w:val="clear" w:color="auto" w:fill="FFFFFF"/>
        </w:rPr>
        <w:t>.0</w:t>
      </w:r>
      <w:r w:rsidRPr="00696AF7">
        <w:rPr>
          <w:rFonts w:ascii="Sylfaen" w:hAnsi="Sylfaen" w:cs="Sylfaen"/>
          <w:szCs w:val="21"/>
          <w:shd w:val="clear" w:color="auto" w:fill="FFFFFF"/>
          <w:lang w:val="ka-GE"/>
        </w:rPr>
        <w:t xml:space="preserve"> ათასი ლარი.</w:t>
      </w:r>
    </w:p>
    <w:p w:rsidR="00FE1A0F" w:rsidRDefault="00FE1A0F" w:rsidP="00FE1A0F">
      <w:pPr>
        <w:tabs>
          <w:tab w:val="left" w:pos="720"/>
        </w:tabs>
        <w:spacing w:before="240" w:after="0" w:line="240" w:lineRule="auto"/>
        <w:jc w:val="center"/>
        <w:rPr>
          <w:rFonts w:ascii="Sylfaen" w:hAnsi="Sylfaen"/>
          <w:b/>
          <w:lang w:val="ka-GE"/>
        </w:rPr>
      </w:pPr>
      <w:r w:rsidRPr="00B73E97">
        <w:rPr>
          <w:rFonts w:ascii="Sylfaen" w:hAnsi="Sylfaen"/>
          <w:b/>
          <w:lang w:val="ka-GE"/>
        </w:rPr>
        <w:t>მთავრობის ვალის საპროგნოზო ზღვრული მოცულობა 202</w:t>
      </w:r>
      <w:r w:rsidR="003B0642" w:rsidRPr="00B73E97">
        <w:rPr>
          <w:rFonts w:ascii="Sylfaen" w:hAnsi="Sylfaen"/>
          <w:b/>
        </w:rPr>
        <w:t>1</w:t>
      </w:r>
      <w:r w:rsidRPr="00B73E97">
        <w:rPr>
          <w:rFonts w:ascii="Sylfaen" w:hAnsi="Sylfaen"/>
          <w:b/>
          <w:lang w:val="ka-GE"/>
        </w:rPr>
        <w:t xml:space="preserve"> წლის ბოლოსთვის</w:t>
      </w:r>
    </w:p>
    <w:p w:rsidR="00AD2082" w:rsidRDefault="00AD2082" w:rsidP="00AD2082">
      <w:pPr>
        <w:tabs>
          <w:tab w:val="left" w:pos="720"/>
        </w:tabs>
        <w:spacing w:before="240" w:after="0" w:line="240" w:lineRule="auto"/>
        <w:jc w:val="right"/>
        <w:rPr>
          <w:rFonts w:ascii="Sylfaen" w:hAnsi="Sylfaen"/>
          <w:b/>
          <w:lang w:val="ka-GE"/>
        </w:rPr>
      </w:pPr>
      <w:proofErr w:type="spellStart"/>
      <w:proofErr w:type="gramStart"/>
      <w:r w:rsidRPr="003B2C8F">
        <w:rPr>
          <w:rFonts w:ascii="Sylfaen" w:eastAsia="Times New Roman" w:hAnsi="Sylfaen" w:cs="Arial"/>
          <w:b/>
          <w:bCs/>
          <w:i/>
          <w:color w:val="000000"/>
          <w:sz w:val="16"/>
          <w:szCs w:val="16"/>
        </w:rPr>
        <w:t>ათასი</w:t>
      </w:r>
      <w:proofErr w:type="spellEnd"/>
      <w:proofErr w:type="gramEnd"/>
      <w:r w:rsidRPr="003B2C8F">
        <w:rPr>
          <w:rFonts w:ascii="Sylfaen" w:eastAsia="Times New Roman" w:hAnsi="Sylfaen" w:cs="Arial"/>
          <w:b/>
          <w:bCs/>
          <w:i/>
          <w:color w:val="000000"/>
          <w:sz w:val="16"/>
          <w:szCs w:val="16"/>
        </w:rPr>
        <w:t xml:space="preserve"> </w:t>
      </w:r>
      <w:proofErr w:type="spellStart"/>
      <w:r w:rsidRPr="003B2C8F">
        <w:rPr>
          <w:rFonts w:ascii="Sylfaen" w:eastAsia="Times New Roman" w:hAnsi="Sylfaen" w:cs="Arial"/>
          <w:b/>
          <w:bCs/>
          <w:i/>
          <w:color w:val="000000"/>
          <w:sz w:val="16"/>
          <w:szCs w:val="16"/>
        </w:rPr>
        <w:t>ლარი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1032"/>
        <w:gridCol w:w="7562"/>
        <w:gridCol w:w="1656"/>
      </w:tblGrid>
      <w:tr w:rsidR="003B2C8F" w:rsidRPr="003B2C8F" w:rsidTr="00AD2082">
        <w:trPr>
          <w:trHeight w:hRule="exact" w:val="979"/>
          <w:tblHeader/>
        </w:trPr>
        <w:tc>
          <w:tcPr>
            <w:tcW w:w="41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3B2C8F" w:rsidRPr="003B2C8F" w:rsidRDefault="003B2C8F" w:rsidP="003B2C8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კრედიტორი</w:t>
            </w:r>
            <w:proofErr w:type="spellEnd"/>
            <w:r w:rsidRPr="003B2C8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0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B2C8F" w:rsidRPr="003B2C8F" w:rsidRDefault="003B2C8F" w:rsidP="003B2C8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საპროგნოზო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ნაშთი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 (31.12.2021) </w:t>
            </w:r>
          </w:p>
        </w:tc>
      </w:tr>
      <w:tr w:rsidR="003B2C8F" w:rsidRPr="003B2C8F" w:rsidTr="00AD2082">
        <w:trPr>
          <w:trHeight w:hRule="exact" w:val="296"/>
        </w:trPr>
        <w:tc>
          <w:tcPr>
            <w:tcW w:w="41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DCE6F1"/>
            <w:vAlign w:val="center"/>
            <w:hideMark/>
          </w:tcPr>
          <w:p w:rsidR="003B2C8F" w:rsidRPr="003B2C8F" w:rsidRDefault="003B2C8F" w:rsidP="003B2C8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სულ</w:t>
            </w:r>
            <w:proofErr w:type="spellEnd"/>
            <w:r w:rsidRPr="003B2C8F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მთავრობის</w:t>
            </w:r>
            <w:proofErr w:type="spellEnd"/>
            <w:r w:rsidRPr="003B2C8F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საგარეო</w:t>
            </w:r>
            <w:proofErr w:type="spellEnd"/>
            <w:r w:rsidRPr="003B2C8F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ვალის</w:t>
            </w:r>
            <w:proofErr w:type="spellEnd"/>
            <w:r w:rsidRPr="003B2C8F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ზღვრული</w:t>
            </w:r>
            <w:proofErr w:type="spellEnd"/>
            <w:r w:rsidRPr="003B2C8F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მოცულობა</w:t>
            </w:r>
            <w:proofErr w:type="spellEnd"/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:rsidR="004B7573" w:rsidRDefault="004B7573" w:rsidP="004B7573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sz w:val="18"/>
                <w:szCs w:val="18"/>
              </w:rPr>
              <w:t>26,159,149</w:t>
            </w:r>
          </w:p>
          <w:p w:rsidR="003B2C8F" w:rsidRPr="003B2C8F" w:rsidRDefault="003B2C8F" w:rsidP="003B2C8F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</w:p>
        </w:tc>
      </w:tr>
      <w:tr w:rsidR="003B2C8F" w:rsidRPr="003B2C8F" w:rsidTr="00AD2082">
        <w:trPr>
          <w:trHeight w:hRule="exact" w:val="296"/>
        </w:trPr>
        <w:tc>
          <w:tcPr>
            <w:tcW w:w="41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BF1DE"/>
            <w:vAlign w:val="center"/>
            <w:hideMark/>
          </w:tcPr>
          <w:p w:rsidR="003B2C8F" w:rsidRPr="003B2C8F" w:rsidRDefault="003B2C8F" w:rsidP="003B2C8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მრავალმხრივი</w:t>
            </w:r>
            <w:proofErr w:type="spellEnd"/>
            <w:r w:rsidRPr="003B2C8F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კრედიტორები</w:t>
            </w:r>
            <w:proofErr w:type="spellEnd"/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BF1DE"/>
            <w:noWrap/>
            <w:vAlign w:val="center"/>
            <w:hideMark/>
          </w:tcPr>
          <w:p w:rsidR="004B7573" w:rsidRDefault="004B7573" w:rsidP="004B7573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18,911,604</w:t>
            </w:r>
          </w:p>
          <w:p w:rsidR="003B2C8F" w:rsidRPr="003B2C8F" w:rsidRDefault="003B2C8F" w:rsidP="003B2C8F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B7573" w:rsidRPr="003B2C8F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B7573" w:rsidRPr="003B2C8F" w:rsidRDefault="004B7573" w:rsidP="004B75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B7573" w:rsidRPr="003B2C8F" w:rsidRDefault="004B7573" w:rsidP="004B7573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აზიის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ბანკი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(ADB)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B7573" w:rsidRDefault="004B7573" w:rsidP="004B7573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6,261,402</w:t>
            </w:r>
          </w:p>
        </w:tc>
      </w:tr>
      <w:tr w:rsidR="004B7573" w:rsidRPr="003B2C8F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B7573" w:rsidRPr="003B2C8F" w:rsidRDefault="004B7573" w:rsidP="004B75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B7573" w:rsidRPr="003B2C8F" w:rsidRDefault="004B7573" w:rsidP="004B7573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აზიის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ინფრასტრუქტურის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საინვესტიციო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ბანკი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(AIIB)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B7573" w:rsidRDefault="004B7573" w:rsidP="004B7573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721,070</w:t>
            </w:r>
          </w:p>
        </w:tc>
      </w:tr>
      <w:tr w:rsidR="004B7573" w:rsidRPr="003B2C8F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B7573" w:rsidRPr="003B2C8F" w:rsidRDefault="004B7573" w:rsidP="004B75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B7573" w:rsidRPr="003B2C8F" w:rsidRDefault="004B7573" w:rsidP="004B7573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ევროპის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რეკონსტრუქციისა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ბანკი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(EBRD)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B7573" w:rsidRDefault="004B7573" w:rsidP="004B7573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781,278</w:t>
            </w:r>
          </w:p>
        </w:tc>
      </w:tr>
      <w:tr w:rsidR="004B7573" w:rsidRPr="003B2C8F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B7573" w:rsidRPr="003B2C8F" w:rsidRDefault="004B7573" w:rsidP="004B75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B7573" w:rsidRPr="003B2C8F" w:rsidRDefault="004B7573" w:rsidP="004B7573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ევროპის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საინვესტიციო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ბანკი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(EIB)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B7573" w:rsidRDefault="004B7573" w:rsidP="004B7573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2,793,372</w:t>
            </w:r>
          </w:p>
        </w:tc>
      </w:tr>
      <w:tr w:rsidR="004B7573" w:rsidRPr="003B2C8F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B7573" w:rsidRPr="003B2C8F" w:rsidRDefault="004B7573" w:rsidP="004B75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B7573" w:rsidRPr="003B2C8F" w:rsidRDefault="004B7573" w:rsidP="004B7573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ევროკავშირი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(EU)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B7573" w:rsidRDefault="004B7573" w:rsidP="004B7573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820,893</w:t>
            </w:r>
          </w:p>
        </w:tc>
      </w:tr>
      <w:tr w:rsidR="004B7573" w:rsidRPr="003B2C8F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B7573" w:rsidRPr="003B2C8F" w:rsidRDefault="004B7573" w:rsidP="004B75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B7573" w:rsidRPr="003B2C8F" w:rsidRDefault="004B7573" w:rsidP="004B7573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მსოფლიო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ბანკი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(WB)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B7573" w:rsidRDefault="004B7573" w:rsidP="004B7573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6,689,701</w:t>
            </w:r>
          </w:p>
        </w:tc>
      </w:tr>
      <w:tr w:rsidR="004B7573" w:rsidRPr="003B2C8F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B7573" w:rsidRPr="003B2C8F" w:rsidRDefault="004B7573" w:rsidP="004B75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B7573" w:rsidRPr="003B2C8F" w:rsidRDefault="004B7573" w:rsidP="004B7573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სოფლის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მეურნეობის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ფონდი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(IFAD)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B7573" w:rsidRDefault="004B7573" w:rsidP="004B7573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128,874</w:t>
            </w:r>
          </w:p>
        </w:tc>
      </w:tr>
      <w:tr w:rsidR="004B7573" w:rsidRPr="003B2C8F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B7573" w:rsidRPr="003B2C8F" w:rsidRDefault="004B7573" w:rsidP="004B75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B7573" w:rsidRPr="003B2C8F" w:rsidRDefault="004B7573" w:rsidP="004B7573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სავალუტო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ფონდი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(IMF)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B7573" w:rsidRDefault="004B7573" w:rsidP="004B7573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694,270</w:t>
            </w:r>
          </w:p>
        </w:tc>
      </w:tr>
      <w:tr w:rsidR="004B7573" w:rsidRPr="003B2C8F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B7573" w:rsidRPr="003B2C8F" w:rsidRDefault="004B7573" w:rsidP="004B75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B7573" w:rsidRPr="003B2C8F" w:rsidRDefault="004B7573" w:rsidP="004B7573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ევროსაბჭოს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ბანკი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(CEB)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B7573" w:rsidRDefault="004B7573" w:rsidP="004B7573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12,026</w:t>
            </w:r>
          </w:p>
        </w:tc>
      </w:tr>
      <w:tr w:rsidR="004B7573" w:rsidRPr="003B2C8F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B7573" w:rsidRPr="003B2C8F" w:rsidRDefault="004B7573" w:rsidP="004B75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B7573" w:rsidRPr="003B2C8F" w:rsidRDefault="004B7573" w:rsidP="004B7573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სკანდინავიური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გარემოს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დაცვის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საფინანსო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კორპორაცია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(NEFCO)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B7573" w:rsidRDefault="004B7573" w:rsidP="004B7573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8,717</w:t>
            </w:r>
          </w:p>
        </w:tc>
      </w:tr>
      <w:tr w:rsidR="003B2C8F" w:rsidRPr="003B2C8F" w:rsidTr="00AD2082">
        <w:trPr>
          <w:trHeight w:hRule="exact" w:val="296"/>
        </w:trPr>
        <w:tc>
          <w:tcPr>
            <w:tcW w:w="41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BF1DE"/>
            <w:vAlign w:val="center"/>
            <w:hideMark/>
          </w:tcPr>
          <w:p w:rsidR="003B2C8F" w:rsidRPr="003B2C8F" w:rsidRDefault="003B2C8F" w:rsidP="003B2C8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ორმხრივი</w:t>
            </w:r>
            <w:proofErr w:type="spellEnd"/>
            <w:r w:rsidRPr="003B2C8F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კრედიტორები</w:t>
            </w:r>
            <w:proofErr w:type="spellEnd"/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BF1DE"/>
            <w:noWrap/>
            <w:vAlign w:val="center"/>
            <w:hideMark/>
          </w:tcPr>
          <w:p w:rsidR="00B835CC" w:rsidRDefault="00B835CC" w:rsidP="00B835CC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5,585,701</w:t>
            </w:r>
          </w:p>
          <w:p w:rsidR="003B2C8F" w:rsidRPr="003B2C8F" w:rsidRDefault="003B2C8F" w:rsidP="003B2C8F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35CC" w:rsidRPr="003B2C8F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35CC" w:rsidRPr="003B2C8F" w:rsidRDefault="00B835CC" w:rsidP="00B835CC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5CC" w:rsidRPr="003B2C8F" w:rsidRDefault="00B835CC" w:rsidP="00B835CC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სომხეთი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35CC" w:rsidRDefault="00B835CC" w:rsidP="00B835CC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12,238</w:t>
            </w:r>
          </w:p>
        </w:tc>
      </w:tr>
      <w:tr w:rsidR="00B835CC" w:rsidRPr="003B2C8F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35CC" w:rsidRPr="003B2C8F" w:rsidRDefault="00B835CC" w:rsidP="00B835CC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5CC" w:rsidRPr="003B2C8F" w:rsidRDefault="00B835CC" w:rsidP="00B835CC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აზერბაიჯანი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35CC" w:rsidRDefault="00B835CC" w:rsidP="00B835CC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13,873</w:t>
            </w:r>
          </w:p>
        </w:tc>
      </w:tr>
      <w:tr w:rsidR="00B835CC" w:rsidRPr="003B2C8F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35CC" w:rsidRPr="003B2C8F" w:rsidRDefault="00B835CC" w:rsidP="00B835CC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5CC" w:rsidRPr="003B2C8F" w:rsidRDefault="00B835CC" w:rsidP="00B835CC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ავსტრია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35CC" w:rsidRDefault="00B835CC" w:rsidP="00B835CC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57,141</w:t>
            </w:r>
          </w:p>
        </w:tc>
      </w:tr>
      <w:tr w:rsidR="00B835CC" w:rsidRPr="003B2C8F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35CC" w:rsidRPr="003B2C8F" w:rsidRDefault="00B835CC" w:rsidP="00B83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C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5CC" w:rsidRPr="003B2C8F" w:rsidRDefault="00B835CC" w:rsidP="00B835CC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ჩინეთი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                                    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35CC" w:rsidRDefault="00B835CC" w:rsidP="00B835CC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1,512</w:t>
            </w:r>
          </w:p>
        </w:tc>
      </w:tr>
      <w:tr w:rsidR="00B835CC" w:rsidRPr="003B2C8F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35CC" w:rsidRPr="003B2C8F" w:rsidRDefault="00B835CC" w:rsidP="00B83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C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5CC" w:rsidRPr="003B2C8F" w:rsidRDefault="00B835CC" w:rsidP="00B835CC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საფრანგეთი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35CC" w:rsidRDefault="00B835CC" w:rsidP="00B835CC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2,009,820</w:t>
            </w:r>
          </w:p>
        </w:tc>
      </w:tr>
      <w:tr w:rsidR="00B835CC" w:rsidRPr="003B2C8F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35CC" w:rsidRPr="003B2C8F" w:rsidRDefault="00B835CC" w:rsidP="00B83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C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5CC" w:rsidRPr="003B2C8F" w:rsidRDefault="00B835CC" w:rsidP="00B835CC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გერმანია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                 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35CC" w:rsidRDefault="00B835CC" w:rsidP="00B835CC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2,580,477</w:t>
            </w:r>
          </w:p>
        </w:tc>
      </w:tr>
      <w:tr w:rsidR="00B835CC" w:rsidRPr="003B2C8F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35CC" w:rsidRPr="003B2C8F" w:rsidRDefault="00B835CC" w:rsidP="00B83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C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5CC" w:rsidRPr="003B2C8F" w:rsidRDefault="00B835CC" w:rsidP="00B835CC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ირანი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                                       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35CC" w:rsidRDefault="00B835CC" w:rsidP="00B835CC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10,119</w:t>
            </w:r>
          </w:p>
        </w:tc>
      </w:tr>
      <w:tr w:rsidR="00B835CC" w:rsidRPr="003B2C8F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35CC" w:rsidRPr="003B2C8F" w:rsidRDefault="00B835CC" w:rsidP="00B83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C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5CC" w:rsidRPr="003B2C8F" w:rsidRDefault="00B835CC" w:rsidP="00B835CC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იაპონია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                                    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35CC" w:rsidRDefault="00B835CC" w:rsidP="00B835CC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685,506</w:t>
            </w:r>
          </w:p>
        </w:tc>
      </w:tr>
      <w:tr w:rsidR="00B835CC" w:rsidRPr="003B2C8F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35CC" w:rsidRPr="003B2C8F" w:rsidRDefault="00B835CC" w:rsidP="00B83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C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5CC" w:rsidRPr="003B2C8F" w:rsidRDefault="00B835CC" w:rsidP="00B835CC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ყაზახეთი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35CC" w:rsidRDefault="00B835CC" w:rsidP="00B835CC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15,091</w:t>
            </w:r>
          </w:p>
        </w:tc>
      </w:tr>
      <w:tr w:rsidR="00B835CC" w:rsidRPr="003B2C8F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35CC" w:rsidRPr="003B2C8F" w:rsidRDefault="00B835CC" w:rsidP="00B83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C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5CC" w:rsidRPr="003B2C8F" w:rsidRDefault="00B835CC" w:rsidP="00B835CC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ქუვეითი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35CC" w:rsidRDefault="00B835CC" w:rsidP="00B835CC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33,473</w:t>
            </w:r>
          </w:p>
        </w:tc>
      </w:tr>
      <w:tr w:rsidR="00B835CC" w:rsidRPr="003B2C8F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35CC" w:rsidRPr="003B2C8F" w:rsidRDefault="00B835CC" w:rsidP="00B83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C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5CC" w:rsidRPr="003B2C8F" w:rsidRDefault="00B835CC" w:rsidP="00B835CC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ნიდერლანდი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                     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35CC" w:rsidRDefault="00B835CC" w:rsidP="00B835CC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340</w:t>
            </w:r>
          </w:p>
        </w:tc>
      </w:tr>
      <w:tr w:rsidR="00B835CC" w:rsidRPr="003B2C8F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35CC" w:rsidRPr="003B2C8F" w:rsidRDefault="00B835CC" w:rsidP="00B83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C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5CC" w:rsidRPr="003B2C8F" w:rsidRDefault="00B835CC" w:rsidP="00B835CC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რუსეთი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                                   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35CC" w:rsidRDefault="00B835CC" w:rsidP="00B835CC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94,826</w:t>
            </w:r>
          </w:p>
        </w:tc>
      </w:tr>
      <w:tr w:rsidR="00B835CC" w:rsidRPr="003B2C8F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35CC" w:rsidRPr="003B2C8F" w:rsidRDefault="00B835CC" w:rsidP="00B83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C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5CC" w:rsidRPr="003B2C8F" w:rsidRDefault="00B835CC" w:rsidP="00B835CC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თურქეთი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35CC" w:rsidRDefault="00B835CC" w:rsidP="00B835CC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27,013</w:t>
            </w:r>
          </w:p>
        </w:tc>
      </w:tr>
      <w:tr w:rsidR="00B835CC" w:rsidRPr="003B2C8F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35CC" w:rsidRPr="003B2C8F" w:rsidRDefault="00B835CC" w:rsidP="00B83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C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5CC" w:rsidRPr="003B2C8F" w:rsidRDefault="00B835CC" w:rsidP="00B835CC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თურქმენეთი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35CC" w:rsidRDefault="00B835CC" w:rsidP="00B835CC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699</w:t>
            </w:r>
          </w:p>
        </w:tc>
      </w:tr>
      <w:tr w:rsidR="00B835CC" w:rsidRPr="003B2C8F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35CC" w:rsidRPr="003B2C8F" w:rsidRDefault="00B835CC" w:rsidP="00B83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C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5CC" w:rsidRPr="003B2C8F" w:rsidRDefault="00B835CC" w:rsidP="00B835CC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უკრაინა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                                   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35CC" w:rsidRDefault="00B835CC" w:rsidP="00B835CC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0</w:t>
            </w:r>
          </w:p>
        </w:tc>
      </w:tr>
      <w:tr w:rsidR="00B835CC" w:rsidRPr="003B2C8F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35CC" w:rsidRPr="003B2C8F" w:rsidRDefault="00B835CC" w:rsidP="00B83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C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5CC" w:rsidRPr="003B2C8F" w:rsidRDefault="00B835CC" w:rsidP="00B835CC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ამერიკის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შეერთებული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შტატები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                                    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35CC" w:rsidRDefault="00B835CC" w:rsidP="00B835CC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43,573</w:t>
            </w:r>
          </w:p>
        </w:tc>
      </w:tr>
      <w:tr w:rsidR="00B835CC" w:rsidRPr="003B2C8F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35CC" w:rsidRPr="003B2C8F" w:rsidRDefault="00B835CC" w:rsidP="00B83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C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5CC" w:rsidRPr="003B2C8F" w:rsidRDefault="00B835CC" w:rsidP="00B835CC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უზბეკეთი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35CC" w:rsidRDefault="00B835CC" w:rsidP="00B835CC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0</w:t>
            </w:r>
          </w:p>
        </w:tc>
      </w:tr>
      <w:tr w:rsidR="003B2C8F" w:rsidRPr="003B2C8F" w:rsidTr="00AD2082">
        <w:trPr>
          <w:trHeight w:hRule="exact" w:val="296"/>
        </w:trPr>
        <w:tc>
          <w:tcPr>
            <w:tcW w:w="41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BF1DE"/>
            <w:vAlign w:val="center"/>
            <w:hideMark/>
          </w:tcPr>
          <w:p w:rsidR="003B2C8F" w:rsidRPr="003B2C8F" w:rsidRDefault="003B2C8F" w:rsidP="003B2C8F">
            <w:pPr>
              <w:spacing w:after="0" w:line="240" w:lineRule="auto"/>
              <w:ind w:firstLineChars="200" w:firstLine="361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სხვა</w:t>
            </w:r>
            <w:proofErr w:type="spellEnd"/>
            <w:r w:rsidRPr="003B2C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საგარეო</w:t>
            </w:r>
            <w:proofErr w:type="spellEnd"/>
            <w:r w:rsidRPr="003B2C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ვალდებულებები</w:t>
            </w:r>
            <w:proofErr w:type="spellEnd"/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BF1DE"/>
            <w:noWrap/>
            <w:vAlign w:val="center"/>
            <w:hideMark/>
          </w:tcPr>
          <w:p w:rsidR="00B835CC" w:rsidRPr="00B835CC" w:rsidRDefault="00B835CC" w:rsidP="00B835CC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835C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1,656,850</w:t>
            </w:r>
          </w:p>
          <w:p w:rsidR="003B2C8F" w:rsidRPr="00B835CC" w:rsidRDefault="003B2C8F" w:rsidP="003B2C8F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2C8F" w:rsidRPr="003B2C8F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B2C8F" w:rsidRPr="003B2C8F" w:rsidRDefault="003B2C8F" w:rsidP="003B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C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B2C8F" w:rsidRPr="003B2C8F" w:rsidRDefault="003B2C8F" w:rsidP="003B2C8F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ევრობონდი</w:t>
            </w:r>
            <w:proofErr w:type="spellEnd"/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35CC" w:rsidRPr="00B835CC" w:rsidRDefault="00B835CC" w:rsidP="00B835CC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B835CC">
              <w:rPr>
                <w:rFonts w:ascii="Sylfaen" w:hAnsi="Sylfaen" w:cs="Arial"/>
                <w:color w:val="000000"/>
                <w:sz w:val="18"/>
                <w:szCs w:val="18"/>
              </w:rPr>
              <w:t>1,656,850</w:t>
            </w:r>
          </w:p>
          <w:p w:rsidR="003B2C8F" w:rsidRPr="00B835CC" w:rsidRDefault="003B2C8F" w:rsidP="003B2C8F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</w:p>
        </w:tc>
      </w:tr>
      <w:tr w:rsidR="003B2C8F" w:rsidRPr="003B2C8F" w:rsidTr="00AD2082">
        <w:trPr>
          <w:trHeight w:hRule="exact" w:val="296"/>
        </w:trPr>
        <w:tc>
          <w:tcPr>
            <w:tcW w:w="41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BF1DE"/>
            <w:vAlign w:val="center"/>
            <w:hideMark/>
          </w:tcPr>
          <w:p w:rsidR="003B2C8F" w:rsidRPr="003B2C8F" w:rsidRDefault="003B2C8F" w:rsidP="003B2C8F">
            <w:pPr>
              <w:spacing w:after="0" w:line="240" w:lineRule="auto"/>
              <w:ind w:firstLineChars="200" w:firstLine="361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3B2C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გარანტიით</w:t>
            </w:r>
            <w:proofErr w:type="spellEnd"/>
            <w:r w:rsidRPr="003B2C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აღებული</w:t>
            </w:r>
            <w:proofErr w:type="spellEnd"/>
            <w:r w:rsidRPr="003B2C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კრედიტები</w:t>
            </w:r>
            <w:proofErr w:type="spellEnd"/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BF1DE"/>
            <w:noWrap/>
            <w:vAlign w:val="center"/>
            <w:hideMark/>
          </w:tcPr>
          <w:p w:rsidR="003B2C8F" w:rsidRPr="00B835CC" w:rsidRDefault="003B2C8F" w:rsidP="003B2C8F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835C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4,994</w:t>
            </w:r>
          </w:p>
        </w:tc>
      </w:tr>
      <w:tr w:rsidR="003B2C8F" w:rsidRPr="003B2C8F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B2C8F" w:rsidRPr="003B2C8F" w:rsidRDefault="003B2C8F" w:rsidP="003B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C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B2C8F" w:rsidRPr="003B2C8F" w:rsidRDefault="003B2C8F" w:rsidP="003B2C8F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გერმანია</w:t>
            </w:r>
            <w:proofErr w:type="spellEnd"/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B2C8F" w:rsidRPr="00B835CC" w:rsidRDefault="003B2C8F" w:rsidP="003B2C8F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B835CC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4,994</w:t>
            </w:r>
          </w:p>
        </w:tc>
      </w:tr>
      <w:tr w:rsidR="003B2C8F" w:rsidRPr="003B2C8F" w:rsidTr="00AD2082">
        <w:trPr>
          <w:trHeight w:hRule="exact" w:val="296"/>
        </w:trPr>
        <w:tc>
          <w:tcPr>
            <w:tcW w:w="41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DCE6F1"/>
            <w:vAlign w:val="center"/>
            <w:hideMark/>
          </w:tcPr>
          <w:p w:rsidR="003B2C8F" w:rsidRPr="003B2C8F" w:rsidRDefault="003B2C8F" w:rsidP="003B2C8F">
            <w:pPr>
              <w:spacing w:after="0" w:line="240" w:lineRule="auto"/>
              <w:ind w:firstLineChars="200" w:firstLine="361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მთავრობის</w:t>
            </w:r>
            <w:proofErr w:type="spellEnd"/>
            <w:r w:rsidRPr="003B2C8F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საშინაო</w:t>
            </w:r>
            <w:proofErr w:type="spellEnd"/>
            <w:r w:rsidRPr="003B2C8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ვალის</w:t>
            </w:r>
            <w:proofErr w:type="spellEnd"/>
            <w:r w:rsidRPr="003B2C8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ზღვრული</w:t>
            </w:r>
            <w:proofErr w:type="spellEnd"/>
            <w:r w:rsidRPr="003B2C8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მოცულობა</w:t>
            </w:r>
            <w:proofErr w:type="spellEnd"/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:rsidR="003B2C8F" w:rsidRPr="00B835CC" w:rsidRDefault="008739E5" w:rsidP="008739E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B835C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</w:t>
            </w:r>
            <w:r w:rsidR="003B2C8F" w:rsidRPr="00B835C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,9</w:t>
            </w:r>
            <w:r w:rsidRPr="00B835C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</w:t>
            </w:r>
            <w:r w:rsidR="003B2C8F" w:rsidRPr="00B835C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</w:t>
            </w:r>
            <w:r w:rsidRPr="00B835C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346</w:t>
            </w:r>
          </w:p>
        </w:tc>
      </w:tr>
      <w:tr w:rsidR="001E039B" w:rsidRPr="003B2C8F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E039B" w:rsidRDefault="001E039B" w:rsidP="001E0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039B" w:rsidRDefault="001E039B" w:rsidP="001E039B">
            <w:pPr>
              <w:ind w:firstLineChars="200" w:firstLine="36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საქართველოს</w:t>
            </w:r>
            <w:proofErr w:type="spellEnd"/>
            <w:r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ეროვნული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ბანკისთვის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განკუთვნილი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ერთწლიანი</w:t>
            </w:r>
            <w:proofErr w:type="spellEnd"/>
            <w:r>
              <w:rPr>
                <w:rFonts w:ascii="Sylfaen" w:hAnsi="Sylfaen" w:cs="Arial"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ყოველწლიურად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განახლებადი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სახელმწიფო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ობლიგაციები</w:t>
            </w:r>
            <w:proofErr w:type="spellEnd"/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E039B" w:rsidRPr="00B835CC" w:rsidRDefault="00B835CC" w:rsidP="001E039B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B835CC">
              <w:rPr>
                <w:rFonts w:ascii="Sylfaen" w:hAnsi="Sylfaen" w:cs="Calibri"/>
                <w:sz w:val="18"/>
                <w:szCs w:val="18"/>
              </w:rPr>
              <w:t>160,</w:t>
            </w:r>
            <w:r w:rsidR="001E039B" w:rsidRPr="00B835CC">
              <w:rPr>
                <w:rFonts w:ascii="Sylfaen" w:hAnsi="Sylfaen" w:cs="Calibri"/>
                <w:sz w:val="18"/>
                <w:szCs w:val="18"/>
              </w:rPr>
              <w:t>846</w:t>
            </w:r>
          </w:p>
        </w:tc>
      </w:tr>
      <w:tr w:rsidR="001E039B" w:rsidRPr="003B2C8F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E039B" w:rsidRDefault="001E039B" w:rsidP="001E0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039B" w:rsidRDefault="001E039B" w:rsidP="001E039B">
            <w:pPr>
              <w:ind w:firstLineChars="200" w:firstLine="36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სხვადასხვა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ვადის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სახელმწიფო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ობლიგაციები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ღია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ბაზრის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ოპერაციებისთვის</w:t>
            </w:r>
            <w:proofErr w:type="spellEnd"/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E039B" w:rsidRPr="00B835CC" w:rsidRDefault="00B835CC" w:rsidP="001E039B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152,</w:t>
            </w:r>
            <w:r w:rsidR="001E039B" w:rsidRPr="00B835CC">
              <w:rPr>
                <w:rFonts w:ascii="Sylfaen" w:hAnsi="Sylfaen" w:cs="Calibri"/>
                <w:sz w:val="18"/>
                <w:szCs w:val="18"/>
              </w:rPr>
              <w:t>000</w:t>
            </w:r>
          </w:p>
        </w:tc>
      </w:tr>
      <w:tr w:rsidR="001E039B" w:rsidRPr="003B2C8F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E039B" w:rsidRDefault="001E039B" w:rsidP="001E0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039B" w:rsidRDefault="001E039B" w:rsidP="001E039B">
            <w:pPr>
              <w:ind w:firstLineChars="200" w:firstLine="36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საქართველოს</w:t>
            </w:r>
            <w:proofErr w:type="spellEnd"/>
            <w:r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ფინანსთა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სამინისტროს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სახაზინო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ვალდებულებები</w:t>
            </w:r>
            <w:proofErr w:type="spellEnd"/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E039B" w:rsidRPr="00B835CC" w:rsidRDefault="00B835CC" w:rsidP="001E039B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600,</w:t>
            </w:r>
            <w:r w:rsidR="001E039B" w:rsidRPr="00B835CC">
              <w:rPr>
                <w:rFonts w:ascii="Sylfaen" w:hAnsi="Sylfaen" w:cs="Calibri"/>
                <w:sz w:val="18"/>
                <w:szCs w:val="18"/>
              </w:rPr>
              <w:t>000</w:t>
            </w:r>
          </w:p>
        </w:tc>
      </w:tr>
      <w:tr w:rsidR="001E039B" w:rsidRPr="003B2C8F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E039B" w:rsidRDefault="001E039B" w:rsidP="001E0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039B" w:rsidRDefault="001E039B" w:rsidP="001E039B">
            <w:pPr>
              <w:ind w:firstLineChars="200" w:firstLine="36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საქართველოს</w:t>
            </w:r>
            <w:proofErr w:type="spellEnd"/>
            <w:r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ფინანსთა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სამინისტროს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სახაზინო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ობლიგაციები</w:t>
            </w:r>
            <w:proofErr w:type="spellEnd"/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E039B" w:rsidRPr="00B835CC" w:rsidRDefault="00B835CC" w:rsidP="001E039B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5,033,</w:t>
            </w:r>
            <w:r w:rsidR="001E039B" w:rsidRPr="00B835CC">
              <w:rPr>
                <w:rFonts w:ascii="Sylfaen" w:hAnsi="Sylfaen" w:cs="Calibri"/>
                <w:sz w:val="18"/>
                <w:szCs w:val="18"/>
              </w:rPr>
              <w:t>000</w:t>
            </w:r>
          </w:p>
        </w:tc>
      </w:tr>
      <w:tr w:rsidR="001E039B" w:rsidRPr="003B2C8F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E039B" w:rsidRDefault="001E039B" w:rsidP="001E0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039B" w:rsidRDefault="001E039B" w:rsidP="001E039B">
            <w:pPr>
              <w:ind w:firstLineChars="200" w:firstLine="360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საბიუჯეტო</w:t>
            </w:r>
            <w:proofErr w:type="spellEnd"/>
            <w:r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ორგანიზაციების</w:t>
            </w:r>
            <w:proofErr w:type="spellEnd"/>
            <w:r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სესხის</w:t>
            </w:r>
            <w:proofErr w:type="spellEnd"/>
            <w:r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სახით</w:t>
            </w:r>
            <w:proofErr w:type="spellEnd"/>
            <w:r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არსებული</w:t>
            </w:r>
            <w:proofErr w:type="spellEnd"/>
            <w:r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ვალი</w:t>
            </w:r>
            <w:proofErr w:type="spellEnd"/>
            <w:r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E039B" w:rsidRPr="00B835CC" w:rsidRDefault="00B835CC" w:rsidP="001E039B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6,</w:t>
            </w:r>
            <w:r w:rsidR="001E039B" w:rsidRPr="00B835CC">
              <w:rPr>
                <w:rFonts w:ascii="Sylfaen" w:hAnsi="Sylfaen" w:cs="Calibri"/>
                <w:sz w:val="18"/>
                <w:szCs w:val="18"/>
              </w:rPr>
              <w:t>500</w:t>
            </w:r>
          </w:p>
        </w:tc>
      </w:tr>
      <w:tr w:rsidR="003B2C8F" w:rsidRPr="003B2C8F" w:rsidTr="00AD2082">
        <w:trPr>
          <w:trHeight w:hRule="exact" w:val="296"/>
        </w:trPr>
        <w:tc>
          <w:tcPr>
            <w:tcW w:w="41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FDE9D9"/>
            <w:vAlign w:val="center"/>
            <w:hideMark/>
          </w:tcPr>
          <w:p w:rsidR="003B2C8F" w:rsidRPr="001E039B" w:rsidRDefault="003B2C8F" w:rsidP="003B2C8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0"/>
              </w:rPr>
            </w:pPr>
            <w:proofErr w:type="spellStart"/>
            <w:r w:rsidRPr="001E039B">
              <w:rPr>
                <w:rFonts w:ascii="Sylfaen" w:eastAsia="Times New Roman" w:hAnsi="Sylfaen" w:cs="Arial"/>
                <w:b/>
                <w:bCs/>
                <w:sz w:val="20"/>
              </w:rPr>
              <w:t>სულ</w:t>
            </w:r>
            <w:proofErr w:type="spellEnd"/>
            <w:r w:rsidRPr="001E039B">
              <w:rPr>
                <w:rFonts w:ascii="Calibri" w:eastAsia="Times New Roman" w:hAnsi="Calibri" w:cs="Calibri"/>
                <w:b/>
                <w:bCs/>
                <w:sz w:val="20"/>
              </w:rPr>
              <w:t xml:space="preserve"> </w:t>
            </w:r>
            <w:proofErr w:type="spellStart"/>
            <w:r w:rsidRPr="001E039B">
              <w:rPr>
                <w:rFonts w:ascii="Sylfaen" w:eastAsia="Times New Roman" w:hAnsi="Sylfaen" w:cs="Arial"/>
                <w:b/>
                <w:bCs/>
                <w:sz w:val="20"/>
              </w:rPr>
              <w:t>მთავრობის</w:t>
            </w:r>
            <w:proofErr w:type="spellEnd"/>
            <w:r w:rsidRPr="001E039B">
              <w:rPr>
                <w:rFonts w:ascii="Calibri" w:eastAsia="Times New Roman" w:hAnsi="Calibri" w:cs="Calibri"/>
                <w:b/>
                <w:bCs/>
                <w:sz w:val="20"/>
              </w:rPr>
              <w:t xml:space="preserve"> </w:t>
            </w:r>
            <w:proofErr w:type="spellStart"/>
            <w:r w:rsidRPr="001E039B">
              <w:rPr>
                <w:rFonts w:ascii="Sylfaen" w:eastAsia="Times New Roman" w:hAnsi="Sylfaen" w:cs="Arial"/>
                <w:b/>
                <w:bCs/>
                <w:sz w:val="20"/>
              </w:rPr>
              <w:t>ვალის</w:t>
            </w:r>
            <w:proofErr w:type="spellEnd"/>
            <w:r w:rsidRPr="001E039B">
              <w:rPr>
                <w:rFonts w:ascii="Calibri" w:eastAsia="Times New Roman" w:hAnsi="Calibri" w:cs="Calibri"/>
                <w:b/>
                <w:bCs/>
                <w:sz w:val="20"/>
              </w:rPr>
              <w:t xml:space="preserve"> </w:t>
            </w:r>
            <w:proofErr w:type="spellStart"/>
            <w:r w:rsidRPr="001E039B">
              <w:rPr>
                <w:rFonts w:ascii="Sylfaen" w:eastAsia="Times New Roman" w:hAnsi="Sylfaen" w:cs="Arial"/>
                <w:b/>
                <w:bCs/>
                <w:sz w:val="20"/>
              </w:rPr>
              <w:t>ზღვრული</w:t>
            </w:r>
            <w:proofErr w:type="spellEnd"/>
            <w:r w:rsidRPr="001E039B">
              <w:rPr>
                <w:rFonts w:ascii="Calibri" w:eastAsia="Times New Roman" w:hAnsi="Calibri" w:cs="Calibri"/>
                <w:b/>
                <w:bCs/>
                <w:sz w:val="20"/>
              </w:rPr>
              <w:t xml:space="preserve"> </w:t>
            </w:r>
            <w:proofErr w:type="spellStart"/>
            <w:r w:rsidRPr="001E039B">
              <w:rPr>
                <w:rFonts w:ascii="Sylfaen" w:eastAsia="Times New Roman" w:hAnsi="Sylfaen" w:cs="Arial"/>
                <w:b/>
                <w:bCs/>
                <w:sz w:val="20"/>
              </w:rPr>
              <w:t>მოცულობა</w:t>
            </w:r>
            <w:proofErr w:type="spellEnd"/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DE9D9"/>
            <w:vAlign w:val="center"/>
            <w:hideMark/>
          </w:tcPr>
          <w:p w:rsidR="00B835CC" w:rsidRPr="00B835CC" w:rsidRDefault="00B835CC" w:rsidP="00B835CC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B835CC">
              <w:rPr>
                <w:rFonts w:ascii="Sylfaen" w:hAnsi="Sylfaen" w:cs="Calibri"/>
                <w:b/>
                <w:bCs/>
                <w:sz w:val="18"/>
                <w:szCs w:val="18"/>
              </w:rPr>
              <w:t>32,111,495</w:t>
            </w:r>
          </w:p>
          <w:p w:rsidR="003B2C8F" w:rsidRPr="00B835CC" w:rsidRDefault="003B2C8F" w:rsidP="008739E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3B2C8F" w:rsidRPr="003B2C8F" w:rsidTr="00AD2082">
        <w:trPr>
          <w:trHeight w:hRule="exact" w:val="296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C8F" w:rsidRPr="003B2C8F" w:rsidRDefault="003B2C8F" w:rsidP="003B2C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C8F" w:rsidRPr="003B2C8F" w:rsidRDefault="003B2C8F" w:rsidP="003B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C8F" w:rsidRPr="003B2C8F" w:rsidRDefault="003B2C8F" w:rsidP="003B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2C8F" w:rsidRPr="003B2C8F" w:rsidTr="00AD2082">
        <w:trPr>
          <w:trHeight w:hRule="exact" w:val="474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2C8F" w:rsidRPr="003B2C8F" w:rsidRDefault="003B2C8F" w:rsidP="003B2C8F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</w:rPr>
            </w:pPr>
            <w:proofErr w:type="spellStart"/>
            <w:r w:rsidRPr="003B2C8F">
              <w:rPr>
                <w:rFonts w:ascii="Sylfaen" w:eastAsia="Times New Roman" w:hAnsi="Sylfaen" w:cs="Sylfaen"/>
                <w:i/>
                <w:sz w:val="16"/>
                <w:szCs w:val="20"/>
              </w:rPr>
              <w:t>შენიშვნა</w:t>
            </w:r>
            <w:proofErr w:type="spellEnd"/>
            <w:r w:rsidRPr="003B2C8F">
              <w:rPr>
                <w:rFonts w:ascii="Arial" w:eastAsia="Times New Roman" w:hAnsi="Arial" w:cs="Arial"/>
                <w:i/>
                <w:sz w:val="16"/>
                <w:szCs w:val="20"/>
              </w:rPr>
              <w:t>:</w:t>
            </w: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C8F" w:rsidRPr="003B2C8F" w:rsidRDefault="003B2C8F" w:rsidP="003B2C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3B2C8F">
              <w:rPr>
                <w:rFonts w:ascii="Sylfaen" w:eastAsia="Times New Roman" w:hAnsi="Sylfaen" w:cs="Sylfaen"/>
                <w:sz w:val="16"/>
                <w:szCs w:val="16"/>
              </w:rPr>
              <w:t>გამოყენებულია</w:t>
            </w:r>
            <w:proofErr w:type="spellEnd"/>
            <w:r w:rsidRPr="003B2C8F">
              <w:rPr>
                <w:rFonts w:ascii="Arial" w:eastAsia="Times New Roman" w:hAnsi="Arial" w:cs="Arial"/>
                <w:sz w:val="16"/>
                <w:szCs w:val="16"/>
              </w:rPr>
              <w:t xml:space="preserve"> 2020 </w:t>
            </w:r>
            <w:proofErr w:type="spellStart"/>
            <w:r w:rsidRPr="003B2C8F">
              <w:rPr>
                <w:rFonts w:ascii="Sylfaen" w:eastAsia="Times New Roman" w:hAnsi="Sylfaen" w:cs="Sylfaen"/>
                <w:sz w:val="16"/>
                <w:szCs w:val="16"/>
              </w:rPr>
              <w:t>წლის</w:t>
            </w:r>
            <w:proofErr w:type="spellEnd"/>
            <w:r w:rsidRPr="003B2C8F">
              <w:rPr>
                <w:rFonts w:ascii="Arial" w:eastAsia="Times New Roman" w:hAnsi="Arial" w:cs="Arial"/>
                <w:sz w:val="16"/>
                <w:szCs w:val="16"/>
              </w:rPr>
              <w:t xml:space="preserve"> 30 </w:t>
            </w:r>
            <w:proofErr w:type="spellStart"/>
            <w:r w:rsidRPr="003B2C8F">
              <w:rPr>
                <w:rFonts w:ascii="Sylfaen" w:eastAsia="Times New Roman" w:hAnsi="Sylfaen" w:cs="Sylfaen"/>
                <w:sz w:val="16"/>
                <w:szCs w:val="16"/>
              </w:rPr>
              <w:t>ნოემბრის</w:t>
            </w:r>
            <w:proofErr w:type="spellEnd"/>
            <w:r w:rsidRPr="003B2C8F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proofErr w:type="spellStart"/>
            <w:r w:rsidRPr="003B2C8F">
              <w:rPr>
                <w:rFonts w:ascii="Sylfaen" w:eastAsia="Times New Roman" w:hAnsi="Sylfaen" w:cs="Sylfaen"/>
                <w:sz w:val="16"/>
                <w:szCs w:val="16"/>
              </w:rPr>
              <w:t>გაცვლითი</w:t>
            </w:r>
            <w:proofErr w:type="spellEnd"/>
            <w:r w:rsidRPr="003B2C8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Sylfaen"/>
                <w:sz w:val="16"/>
                <w:szCs w:val="16"/>
              </w:rPr>
              <w:t>კურსები</w:t>
            </w:r>
            <w:proofErr w:type="spellEnd"/>
            <w:r w:rsidRPr="003B2C8F">
              <w:rPr>
                <w:rFonts w:ascii="Arial" w:eastAsia="Times New Roman" w:hAnsi="Arial" w:cs="Arial"/>
                <w:sz w:val="16"/>
                <w:szCs w:val="16"/>
              </w:rPr>
              <w:t xml:space="preserve">.: </w:t>
            </w:r>
            <w:r w:rsidRPr="003B2C8F">
              <w:rPr>
                <w:rFonts w:ascii="Arial" w:eastAsia="Times New Roman" w:hAnsi="Arial" w:cs="Arial"/>
                <w:sz w:val="14"/>
                <w:szCs w:val="14"/>
              </w:rPr>
              <w:t>1 EUR = 3.9466 GEL; 1 SDR = 4.7229 GEL; 10 CNY =5.0396 GEL; 100 JPY = 3.178 GEL; 1 KWD =10.8397 GEL; 1 USD = 3.3137 GEL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C8F" w:rsidRPr="003B2C8F" w:rsidRDefault="003B2C8F" w:rsidP="003B2C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FB7087" w:rsidRPr="00B73E97" w:rsidRDefault="00AD59D0" w:rsidP="003B0642">
      <w:pPr>
        <w:spacing w:after="0" w:line="240" w:lineRule="auto"/>
        <w:jc w:val="right"/>
        <w:rPr>
          <w:rFonts w:ascii="Sylfaen" w:hAnsi="Sylfaen"/>
          <w:b/>
          <w:bCs/>
          <w:i/>
          <w:color w:val="7F7F7F" w:themeColor="text1" w:themeTint="80"/>
          <w:sz w:val="18"/>
          <w:szCs w:val="18"/>
        </w:rPr>
      </w:pPr>
      <w:r w:rsidRPr="00B73E97">
        <w:rPr>
          <w:rFonts w:ascii="Sylfaen" w:hAnsi="Sylfaen"/>
          <w:b/>
          <w:i/>
          <w:noProof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</w:p>
    <w:p w:rsidR="0053506B" w:rsidRPr="00B73E97" w:rsidRDefault="0053506B" w:rsidP="00D62E87">
      <w:pPr>
        <w:spacing w:after="0" w:line="240" w:lineRule="auto"/>
        <w:jc w:val="center"/>
        <w:rPr>
          <w:rFonts w:ascii="Sylfaen" w:hAnsi="Sylfaen" w:cs="Sylfaen"/>
          <w:color w:val="FF0000"/>
          <w:sz w:val="18"/>
        </w:rPr>
      </w:pPr>
    </w:p>
    <w:sectPr w:rsidR="0053506B" w:rsidRPr="00B73E97" w:rsidSect="00AD2082">
      <w:footerReference w:type="default" r:id="rId12"/>
      <w:pgSz w:w="11907" w:h="16839" w:code="9"/>
      <w:pgMar w:top="810" w:right="927" w:bottom="990" w:left="720" w:header="720" w:footer="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87A" w:rsidRDefault="00DE587A" w:rsidP="00400BED">
      <w:pPr>
        <w:spacing w:after="0" w:line="240" w:lineRule="auto"/>
      </w:pPr>
      <w:r>
        <w:separator/>
      </w:r>
    </w:p>
  </w:endnote>
  <w:endnote w:type="continuationSeparator" w:id="0">
    <w:p w:rsidR="00DE587A" w:rsidRDefault="00DE587A" w:rsidP="0040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tNusx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n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355" w:rsidRDefault="00334355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2A573C">
      <w:rPr>
        <w:caps/>
        <w:noProof/>
        <w:color w:val="4F81BD" w:themeColor="accent1"/>
      </w:rPr>
      <w:t>8</w:t>
    </w:r>
    <w:r>
      <w:rPr>
        <w:caps/>
        <w:noProof/>
        <w:color w:val="4F81BD" w:themeColor="accent1"/>
      </w:rPr>
      <w:fldChar w:fldCharType="end"/>
    </w:r>
  </w:p>
  <w:p w:rsidR="005102DB" w:rsidRDefault="00510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87A" w:rsidRDefault="00DE587A" w:rsidP="00400BED">
      <w:pPr>
        <w:spacing w:after="0" w:line="240" w:lineRule="auto"/>
      </w:pPr>
      <w:r>
        <w:separator/>
      </w:r>
    </w:p>
  </w:footnote>
  <w:footnote w:type="continuationSeparator" w:id="0">
    <w:p w:rsidR="00DE587A" w:rsidRDefault="00DE587A" w:rsidP="0040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6A7"/>
    <w:multiLevelType w:val="hybridMultilevel"/>
    <w:tmpl w:val="E090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3B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482"/>
    <w:multiLevelType w:val="hybridMultilevel"/>
    <w:tmpl w:val="CC12667E"/>
    <w:lvl w:ilvl="0" w:tplc="4E683B8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3875CC3"/>
    <w:multiLevelType w:val="hybridMultilevel"/>
    <w:tmpl w:val="C8D6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C57C7"/>
    <w:multiLevelType w:val="hybridMultilevel"/>
    <w:tmpl w:val="52D63BC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DA955A3"/>
    <w:multiLevelType w:val="hybridMultilevel"/>
    <w:tmpl w:val="242C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F276E"/>
    <w:multiLevelType w:val="hybridMultilevel"/>
    <w:tmpl w:val="A84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3694"/>
    <w:multiLevelType w:val="hybridMultilevel"/>
    <w:tmpl w:val="36CCA540"/>
    <w:lvl w:ilvl="0" w:tplc="4E683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105F0"/>
    <w:multiLevelType w:val="hybridMultilevel"/>
    <w:tmpl w:val="FD3A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45785"/>
    <w:multiLevelType w:val="hybridMultilevel"/>
    <w:tmpl w:val="B86EFDCA"/>
    <w:lvl w:ilvl="0" w:tplc="39C46994">
      <w:numFmt w:val="bullet"/>
      <w:lvlText w:val=""/>
      <w:lvlJc w:val="left"/>
      <w:pPr>
        <w:ind w:left="144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7C4237"/>
    <w:multiLevelType w:val="hybridMultilevel"/>
    <w:tmpl w:val="0664A0CE"/>
    <w:lvl w:ilvl="0" w:tplc="17EACFD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2635D"/>
    <w:multiLevelType w:val="hybridMultilevel"/>
    <w:tmpl w:val="79FC49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726963E1"/>
    <w:multiLevelType w:val="hybridMultilevel"/>
    <w:tmpl w:val="D4B2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03C67"/>
    <w:multiLevelType w:val="hybridMultilevel"/>
    <w:tmpl w:val="FFD05A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7D296A6E"/>
    <w:multiLevelType w:val="hybridMultilevel"/>
    <w:tmpl w:val="A7CA7D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1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  <w:num w:numId="12">
    <w:abstractNumId w:val="9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F5"/>
    <w:rsid w:val="00001E43"/>
    <w:rsid w:val="00004209"/>
    <w:rsid w:val="00012780"/>
    <w:rsid w:val="00012CCB"/>
    <w:rsid w:val="00012E03"/>
    <w:rsid w:val="00013763"/>
    <w:rsid w:val="00013D97"/>
    <w:rsid w:val="0001411B"/>
    <w:rsid w:val="00015303"/>
    <w:rsid w:val="000156E3"/>
    <w:rsid w:val="000162A1"/>
    <w:rsid w:val="00017DE3"/>
    <w:rsid w:val="00027288"/>
    <w:rsid w:val="0002796C"/>
    <w:rsid w:val="00030CF6"/>
    <w:rsid w:val="00032625"/>
    <w:rsid w:val="000340AB"/>
    <w:rsid w:val="0003606D"/>
    <w:rsid w:val="00036CFD"/>
    <w:rsid w:val="00037587"/>
    <w:rsid w:val="00037DB7"/>
    <w:rsid w:val="00040C4B"/>
    <w:rsid w:val="000413CE"/>
    <w:rsid w:val="00041D5B"/>
    <w:rsid w:val="00044F01"/>
    <w:rsid w:val="000458CE"/>
    <w:rsid w:val="00050EF1"/>
    <w:rsid w:val="0005462B"/>
    <w:rsid w:val="00054AB0"/>
    <w:rsid w:val="00057593"/>
    <w:rsid w:val="00063126"/>
    <w:rsid w:val="00064717"/>
    <w:rsid w:val="00065901"/>
    <w:rsid w:val="00065AD3"/>
    <w:rsid w:val="0006735B"/>
    <w:rsid w:val="0007088A"/>
    <w:rsid w:val="0007188A"/>
    <w:rsid w:val="00071A46"/>
    <w:rsid w:val="00071A4F"/>
    <w:rsid w:val="00071D1D"/>
    <w:rsid w:val="00071DD7"/>
    <w:rsid w:val="00073EEF"/>
    <w:rsid w:val="0007413E"/>
    <w:rsid w:val="00074A14"/>
    <w:rsid w:val="0007519C"/>
    <w:rsid w:val="000771C9"/>
    <w:rsid w:val="00080A73"/>
    <w:rsid w:val="0008119F"/>
    <w:rsid w:val="00081DE3"/>
    <w:rsid w:val="000858BE"/>
    <w:rsid w:val="00086A00"/>
    <w:rsid w:val="00091646"/>
    <w:rsid w:val="000957B3"/>
    <w:rsid w:val="00095B71"/>
    <w:rsid w:val="00096855"/>
    <w:rsid w:val="000969CB"/>
    <w:rsid w:val="00096CC2"/>
    <w:rsid w:val="000973FB"/>
    <w:rsid w:val="000A05E4"/>
    <w:rsid w:val="000A29EB"/>
    <w:rsid w:val="000A4467"/>
    <w:rsid w:val="000A5F64"/>
    <w:rsid w:val="000A7B97"/>
    <w:rsid w:val="000B16F8"/>
    <w:rsid w:val="000B2189"/>
    <w:rsid w:val="000B567A"/>
    <w:rsid w:val="000B6954"/>
    <w:rsid w:val="000B6CAA"/>
    <w:rsid w:val="000C139F"/>
    <w:rsid w:val="000C3566"/>
    <w:rsid w:val="000C4A44"/>
    <w:rsid w:val="000C57D0"/>
    <w:rsid w:val="000D046A"/>
    <w:rsid w:val="000D159E"/>
    <w:rsid w:val="000D1A17"/>
    <w:rsid w:val="000D4D25"/>
    <w:rsid w:val="000D7D26"/>
    <w:rsid w:val="000E0438"/>
    <w:rsid w:val="000E2E32"/>
    <w:rsid w:val="000E4DAD"/>
    <w:rsid w:val="000E5F6B"/>
    <w:rsid w:val="000E7432"/>
    <w:rsid w:val="000E7E49"/>
    <w:rsid w:val="000F00E4"/>
    <w:rsid w:val="000F13F4"/>
    <w:rsid w:val="000F55BB"/>
    <w:rsid w:val="000F5720"/>
    <w:rsid w:val="000F7FD3"/>
    <w:rsid w:val="00102D0F"/>
    <w:rsid w:val="001055DA"/>
    <w:rsid w:val="00107030"/>
    <w:rsid w:val="00110A1B"/>
    <w:rsid w:val="00121AE2"/>
    <w:rsid w:val="001226B8"/>
    <w:rsid w:val="00123D22"/>
    <w:rsid w:val="00124299"/>
    <w:rsid w:val="001261C7"/>
    <w:rsid w:val="00126E5C"/>
    <w:rsid w:val="0013125A"/>
    <w:rsid w:val="001318E0"/>
    <w:rsid w:val="0013347B"/>
    <w:rsid w:val="00137A54"/>
    <w:rsid w:val="00137ED5"/>
    <w:rsid w:val="0014025D"/>
    <w:rsid w:val="00140A25"/>
    <w:rsid w:val="00140A2F"/>
    <w:rsid w:val="00144098"/>
    <w:rsid w:val="001441DC"/>
    <w:rsid w:val="00145367"/>
    <w:rsid w:val="0014548C"/>
    <w:rsid w:val="00153061"/>
    <w:rsid w:val="001536D0"/>
    <w:rsid w:val="00154312"/>
    <w:rsid w:val="00157433"/>
    <w:rsid w:val="00160413"/>
    <w:rsid w:val="00162FC7"/>
    <w:rsid w:val="00164B20"/>
    <w:rsid w:val="0016733A"/>
    <w:rsid w:val="001673DC"/>
    <w:rsid w:val="00173BAA"/>
    <w:rsid w:val="001757D3"/>
    <w:rsid w:val="001763B0"/>
    <w:rsid w:val="00181ECC"/>
    <w:rsid w:val="00182832"/>
    <w:rsid w:val="00187C1C"/>
    <w:rsid w:val="00190A72"/>
    <w:rsid w:val="00192C0F"/>
    <w:rsid w:val="00193364"/>
    <w:rsid w:val="00193C76"/>
    <w:rsid w:val="00197E9D"/>
    <w:rsid w:val="001A2AFB"/>
    <w:rsid w:val="001A3600"/>
    <w:rsid w:val="001A397F"/>
    <w:rsid w:val="001A410C"/>
    <w:rsid w:val="001B17E2"/>
    <w:rsid w:val="001B2633"/>
    <w:rsid w:val="001B4547"/>
    <w:rsid w:val="001B508D"/>
    <w:rsid w:val="001B5DAC"/>
    <w:rsid w:val="001C5235"/>
    <w:rsid w:val="001C5F44"/>
    <w:rsid w:val="001D0A60"/>
    <w:rsid w:val="001D17B2"/>
    <w:rsid w:val="001D5195"/>
    <w:rsid w:val="001D5ADC"/>
    <w:rsid w:val="001D65B8"/>
    <w:rsid w:val="001D6905"/>
    <w:rsid w:val="001D7AFC"/>
    <w:rsid w:val="001E039B"/>
    <w:rsid w:val="001E272E"/>
    <w:rsid w:val="001E2DD2"/>
    <w:rsid w:val="001E53A0"/>
    <w:rsid w:val="001E61BA"/>
    <w:rsid w:val="001E62A2"/>
    <w:rsid w:val="001E6933"/>
    <w:rsid w:val="001E6B6E"/>
    <w:rsid w:val="001F1323"/>
    <w:rsid w:val="001F36D9"/>
    <w:rsid w:val="001F3BCB"/>
    <w:rsid w:val="00200F18"/>
    <w:rsid w:val="00203E0A"/>
    <w:rsid w:val="0020475E"/>
    <w:rsid w:val="00206BEB"/>
    <w:rsid w:val="00210947"/>
    <w:rsid w:val="00215653"/>
    <w:rsid w:val="0022130D"/>
    <w:rsid w:val="00225341"/>
    <w:rsid w:val="00233B5E"/>
    <w:rsid w:val="0023438F"/>
    <w:rsid w:val="00236007"/>
    <w:rsid w:val="0024105B"/>
    <w:rsid w:val="0024488E"/>
    <w:rsid w:val="00247C11"/>
    <w:rsid w:val="0025039F"/>
    <w:rsid w:val="00255F02"/>
    <w:rsid w:val="00256FDD"/>
    <w:rsid w:val="00262BF3"/>
    <w:rsid w:val="00263EAD"/>
    <w:rsid w:val="00267926"/>
    <w:rsid w:val="00270120"/>
    <w:rsid w:val="00270C72"/>
    <w:rsid w:val="002758CB"/>
    <w:rsid w:val="0028042E"/>
    <w:rsid w:val="0028088E"/>
    <w:rsid w:val="00280FA2"/>
    <w:rsid w:val="00281A88"/>
    <w:rsid w:val="0028678E"/>
    <w:rsid w:val="0028789D"/>
    <w:rsid w:val="00291724"/>
    <w:rsid w:val="0029176A"/>
    <w:rsid w:val="00293858"/>
    <w:rsid w:val="0029394E"/>
    <w:rsid w:val="00294224"/>
    <w:rsid w:val="002A0BB1"/>
    <w:rsid w:val="002A2174"/>
    <w:rsid w:val="002A3C73"/>
    <w:rsid w:val="002A4263"/>
    <w:rsid w:val="002A573C"/>
    <w:rsid w:val="002B1FB3"/>
    <w:rsid w:val="002B3E23"/>
    <w:rsid w:val="002B47AA"/>
    <w:rsid w:val="002B61B5"/>
    <w:rsid w:val="002B61EC"/>
    <w:rsid w:val="002B6702"/>
    <w:rsid w:val="002B6DAE"/>
    <w:rsid w:val="002B6F15"/>
    <w:rsid w:val="002B72FA"/>
    <w:rsid w:val="002B7EE6"/>
    <w:rsid w:val="002C2F60"/>
    <w:rsid w:val="002C41C2"/>
    <w:rsid w:val="002C7782"/>
    <w:rsid w:val="002C784F"/>
    <w:rsid w:val="002C78D2"/>
    <w:rsid w:val="002D15C8"/>
    <w:rsid w:val="002D16E4"/>
    <w:rsid w:val="002D22B9"/>
    <w:rsid w:val="002D596E"/>
    <w:rsid w:val="002D6813"/>
    <w:rsid w:val="002E3E75"/>
    <w:rsid w:val="002F0B9C"/>
    <w:rsid w:val="002F292C"/>
    <w:rsid w:val="002F4A36"/>
    <w:rsid w:val="002F5FB0"/>
    <w:rsid w:val="002F7144"/>
    <w:rsid w:val="00300306"/>
    <w:rsid w:val="003028B4"/>
    <w:rsid w:val="00304455"/>
    <w:rsid w:val="00307471"/>
    <w:rsid w:val="00310E6E"/>
    <w:rsid w:val="00311508"/>
    <w:rsid w:val="00311D8A"/>
    <w:rsid w:val="00313468"/>
    <w:rsid w:val="003150E3"/>
    <w:rsid w:val="003166CD"/>
    <w:rsid w:val="00317C22"/>
    <w:rsid w:val="0032795B"/>
    <w:rsid w:val="003303AF"/>
    <w:rsid w:val="0033211A"/>
    <w:rsid w:val="00332B60"/>
    <w:rsid w:val="00334355"/>
    <w:rsid w:val="003351F0"/>
    <w:rsid w:val="0033754D"/>
    <w:rsid w:val="003419E6"/>
    <w:rsid w:val="003425D6"/>
    <w:rsid w:val="003430DD"/>
    <w:rsid w:val="00347FB5"/>
    <w:rsid w:val="00352E0D"/>
    <w:rsid w:val="003532BD"/>
    <w:rsid w:val="0035676A"/>
    <w:rsid w:val="00361883"/>
    <w:rsid w:val="00364196"/>
    <w:rsid w:val="0036419C"/>
    <w:rsid w:val="00372A1B"/>
    <w:rsid w:val="00375F6E"/>
    <w:rsid w:val="00377B9F"/>
    <w:rsid w:val="00382167"/>
    <w:rsid w:val="003838EC"/>
    <w:rsid w:val="00387352"/>
    <w:rsid w:val="0039166F"/>
    <w:rsid w:val="00395CE1"/>
    <w:rsid w:val="003967C1"/>
    <w:rsid w:val="00396821"/>
    <w:rsid w:val="003A0E81"/>
    <w:rsid w:val="003A343D"/>
    <w:rsid w:val="003A4A93"/>
    <w:rsid w:val="003B0642"/>
    <w:rsid w:val="003B1490"/>
    <w:rsid w:val="003B159D"/>
    <w:rsid w:val="003B15C3"/>
    <w:rsid w:val="003B22D1"/>
    <w:rsid w:val="003B2C8F"/>
    <w:rsid w:val="003B4834"/>
    <w:rsid w:val="003B5B47"/>
    <w:rsid w:val="003B68A7"/>
    <w:rsid w:val="003B775B"/>
    <w:rsid w:val="003C2AE8"/>
    <w:rsid w:val="003C3825"/>
    <w:rsid w:val="003C5914"/>
    <w:rsid w:val="003C60E3"/>
    <w:rsid w:val="003C633D"/>
    <w:rsid w:val="003D0F28"/>
    <w:rsid w:val="003D158A"/>
    <w:rsid w:val="003D2689"/>
    <w:rsid w:val="003D5A3B"/>
    <w:rsid w:val="003D62DD"/>
    <w:rsid w:val="003D6E27"/>
    <w:rsid w:val="003E2AE8"/>
    <w:rsid w:val="003E2E05"/>
    <w:rsid w:val="003E2FDF"/>
    <w:rsid w:val="003E43A7"/>
    <w:rsid w:val="003E5A7C"/>
    <w:rsid w:val="003F0548"/>
    <w:rsid w:val="003F208F"/>
    <w:rsid w:val="003F27BF"/>
    <w:rsid w:val="003F2860"/>
    <w:rsid w:val="003F3483"/>
    <w:rsid w:val="003F36B5"/>
    <w:rsid w:val="003F6F77"/>
    <w:rsid w:val="003F711D"/>
    <w:rsid w:val="003F75A7"/>
    <w:rsid w:val="00400BED"/>
    <w:rsid w:val="004033E5"/>
    <w:rsid w:val="00405A47"/>
    <w:rsid w:val="0040622C"/>
    <w:rsid w:val="0040699D"/>
    <w:rsid w:val="00406FEE"/>
    <w:rsid w:val="00410C40"/>
    <w:rsid w:val="004117C8"/>
    <w:rsid w:val="004150CD"/>
    <w:rsid w:val="00416472"/>
    <w:rsid w:val="00421440"/>
    <w:rsid w:val="00421638"/>
    <w:rsid w:val="00424397"/>
    <w:rsid w:val="00425B8C"/>
    <w:rsid w:val="00425E7D"/>
    <w:rsid w:val="00426244"/>
    <w:rsid w:val="00427DC2"/>
    <w:rsid w:val="004324BD"/>
    <w:rsid w:val="00434625"/>
    <w:rsid w:val="00435096"/>
    <w:rsid w:val="00441218"/>
    <w:rsid w:val="0044178B"/>
    <w:rsid w:val="004439FD"/>
    <w:rsid w:val="00445CA6"/>
    <w:rsid w:val="004464CC"/>
    <w:rsid w:val="004611B5"/>
    <w:rsid w:val="00462A0C"/>
    <w:rsid w:val="00466050"/>
    <w:rsid w:val="00466B57"/>
    <w:rsid w:val="00470E61"/>
    <w:rsid w:val="00471D7F"/>
    <w:rsid w:val="00480DC3"/>
    <w:rsid w:val="004816BC"/>
    <w:rsid w:val="004835AB"/>
    <w:rsid w:val="00483895"/>
    <w:rsid w:val="004850D5"/>
    <w:rsid w:val="00485FD9"/>
    <w:rsid w:val="00490B44"/>
    <w:rsid w:val="00493136"/>
    <w:rsid w:val="00496409"/>
    <w:rsid w:val="00497DE1"/>
    <w:rsid w:val="004A3196"/>
    <w:rsid w:val="004A3DB0"/>
    <w:rsid w:val="004B1263"/>
    <w:rsid w:val="004B29BC"/>
    <w:rsid w:val="004B46E8"/>
    <w:rsid w:val="004B7573"/>
    <w:rsid w:val="004C0704"/>
    <w:rsid w:val="004C59A6"/>
    <w:rsid w:val="004D17A6"/>
    <w:rsid w:val="004D26F9"/>
    <w:rsid w:val="004D7B47"/>
    <w:rsid w:val="004E2497"/>
    <w:rsid w:val="004E3AB1"/>
    <w:rsid w:val="004E422E"/>
    <w:rsid w:val="004F2321"/>
    <w:rsid w:val="004F5AB2"/>
    <w:rsid w:val="0050185A"/>
    <w:rsid w:val="00501E22"/>
    <w:rsid w:val="005102DB"/>
    <w:rsid w:val="00510802"/>
    <w:rsid w:val="005131CE"/>
    <w:rsid w:val="00515451"/>
    <w:rsid w:val="005165EB"/>
    <w:rsid w:val="005233E0"/>
    <w:rsid w:val="00523560"/>
    <w:rsid w:val="0053140C"/>
    <w:rsid w:val="0053399C"/>
    <w:rsid w:val="00534D33"/>
    <w:rsid w:val="0053506B"/>
    <w:rsid w:val="005370EC"/>
    <w:rsid w:val="0054275A"/>
    <w:rsid w:val="00543222"/>
    <w:rsid w:val="00544450"/>
    <w:rsid w:val="00547406"/>
    <w:rsid w:val="005532C7"/>
    <w:rsid w:val="0055381D"/>
    <w:rsid w:val="0055654D"/>
    <w:rsid w:val="0056160F"/>
    <w:rsid w:val="00564957"/>
    <w:rsid w:val="00564C7D"/>
    <w:rsid w:val="00567ACE"/>
    <w:rsid w:val="00570728"/>
    <w:rsid w:val="00570A55"/>
    <w:rsid w:val="00570C98"/>
    <w:rsid w:val="00572781"/>
    <w:rsid w:val="0057502A"/>
    <w:rsid w:val="00576720"/>
    <w:rsid w:val="005773E3"/>
    <w:rsid w:val="00581B0F"/>
    <w:rsid w:val="005830B0"/>
    <w:rsid w:val="0058312E"/>
    <w:rsid w:val="005851C8"/>
    <w:rsid w:val="0058522A"/>
    <w:rsid w:val="005870D9"/>
    <w:rsid w:val="00590695"/>
    <w:rsid w:val="00591512"/>
    <w:rsid w:val="00594033"/>
    <w:rsid w:val="00595CEE"/>
    <w:rsid w:val="00596075"/>
    <w:rsid w:val="005A44F5"/>
    <w:rsid w:val="005A5523"/>
    <w:rsid w:val="005B3272"/>
    <w:rsid w:val="005B3C35"/>
    <w:rsid w:val="005B498D"/>
    <w:rsid w:val="005B505D"/>
    <w:rsid w:val="005B5D38"/>
    <w:rsid w:val="005C0056"/>
    <w:rsid w:val="005C212A"/>
    <w:rsid w:val="005C33E2"/>
    <w:rsid w:val="005C3BE1"/>
    <w:rsid w:val="005C46D1"/>
    <w:rsid w:val="005D248B"/>
    <w:rsid w:val="005D41B7"/>
    <w:rsid w:val="005E0A52"/>
    <w:rsid w:val="005E1257"/>
    <w:rsid w:val="005E2930"/>
    <w:rsid w:val="005E581F"/>
    <w:rsid w:val="005E5E26"/>
    <w:rsid w:val="005E63ED"/>
    <w:rsid w:val="005E7CA8"/>
    <w:rsid w:val="005F36E9"/>
    <w:rsid w:val="005F6B8A"/>
    <w:rsid w:val="00600923"/>
    <w:rsid w:val="00603BE0"/>
    <w:rsid w:val="006042C4"/>
    <w:rsid w:val="0061180A"/>
    <w:rsid w:val="00615CCA"/>
    <w:rsid w:val="006168BD"/>
    <w:rsid w:val="006202AE"/>
    <w:rsid w:val="006204B4"/>
    <w:rsid w:val="00621E8E"/>
    <w:rsid w:val="0062322C"/>
    <w:rsid w:val="00623F0F"/>
    <w:rsid w:val="00626122"/>
    <w:rsid w:val="006268F4"/>
    <w:rsid w:val="00631A9A"/>
    <w:rsid w:val="0063481F"/>
    <w:rsid w:val="0064753E"/>
    <w:rsid w:val="006500C4"/>
    <w:rsid w:val="00651040"/>
    <w:rsid w:val="0065336E"/>
    <w:rsid w:val="006546E7"/>
    <w:rsid w:val="006578EC"/>
    <w:rsid w:val="00657A6F"/>
    <w:rsid w:val="00661B66"/>
    <w:rsid w:val="00663921"/>
    <w:rsid w:val="006663B1"/>
    <w:rsid w:val="00667DDB"/>
    <w:rsid w:val="00673822"/>
    <w:rsid w:val="006776FE"/>
    <w:rsid w:val="0068034E"/>
    <w:rsid w:val="00682559"/>
    <w:rsid w:val="00682DC8"/>
    <w:rsid w:val="006830DB"/>
    <w:rsid w:val="00684B33"/>
    <w:rsid w:val="006859B7"/>
    <w:rsid w:val="00686D87"/>
    <w:rsid w:val="0068719D"/>
    <w:rsid w:val="00691181"/>
    <w:rsid w:val="00692B62"/>
    <w:rsid w:val="00693321"/>
    <w:rsid w:val="00693542"/>
    <w:rsid w:val="00694AB3"/>
    <w:rsid w:val="00694EFF"/>
    <w:rsid w:val="0069693A"/>
    <w:rsid w:val="00696AF7"/>
    <w:rsid w:val="006A0EC7"/>
    <w:rsid w:val="006A1E01"/>
    <w:rsid w:val="006A3476"/>
    <w:rsid w:val="006A41DE"/>
    <w:rsid w:val="006A47A2"/>
    <w:rsid w:val="006A7D49"/>
    <w:rsid w:val="006B1B1E"/>
    <w:rsid w:val="006B398B"/>
    <w:rsid w:val="006B3FC1"/>
    <w:rsid w:val="006C2FB0"/>
    <w:rsid w:val="006C4EE2"/>
    <w:rsid w:val="006C62DA"/>
    <w:rsid w:val="006C6499"/>
    <w:rsid w:val="006C77A4"/>
    <w:rsid w:val="006D20E2"/>
    <w:rsid w:val="006D2512"/>
    <w:rsid w:val="006D3126"/>
    <w:rsid w:val="006D5D4C"/>
    <w:rsid w:val="006D6E25"/>
    <w:rsid w:val="006D734B"/>
    <w:rsid w:val="006E02C4"/>
    <w:rsid w:val="006E1782"/>
    <w:rsid w:val="006E4EF9"/>
    <w:rsid w:val="006F1443"/>
    <w:rsid w:val="006F1A93"/>
    <w:rsid w:val="006F2BB7"/>
    <w:rsid w:val="006F334D"/>
    <w:rsid w:val="006F34C1"/>
    <w:rsid w:val="006F4151"/>
    <w:rsid w:val="006F4202"/>
    <w:rsid w:val="006F461C"/>
    <w:rsid w:val="006F4803"/>
    <w:rsid w:val="006F576F"/>
    <w:rsid w:val="006F5BEB"/>
    <w:rsid w:val="006F6D3E"/>
    <w:rsid w:val="00700C95"/>
    <w:rsid w:val="007039CE"/>
    <w:rsid w:val="00705B9D"/>
    <w:rsid w:val="0070689E"/>
    <w:rsid w:val="00706CC5"/>
    <w:rsid w:val="00707FAF"/>
    <w:rsid w:val="007121D3"/>
    <w:rsid w:val="00712989"/>
    <w:rsid w:val="0071317C"/>
    <w:rsid w:val="00713B95"/>
    <w:rsid w:val="00716043"/>
    <w:rsid w:val="00716759"/>
    <w:rsid w:val="00722371"/>
    <w:rsid w:val="0072498D"/>
    <w:rsid w:val="0072570D"/>
    <w:rsid w:val="0072749E"/>
    <w:rsid w:val="00727D30"/>
    <w:rsid w:val="007350CD"/>
    <w:rsid w:val="0073687D"/>
    <w:rsid w:val="00737314"/>
    <w:rsid w:val="007449DE"/>
    <w:rsid w:val="00746294"/>
    <w:rsid w:val="007464DB"/>
    <w:rsid w:val="00746651"/>
    <w:rsid w:val="00750BCA"/>
    <w:rsid w:val="0075480C"/>
    <w:rsid w:val="007638B2"/>
    <w:rsid w:val="00764192"/>
    <w:rsid w:val="007643C1"/>
    <w:rsid w:val="00771909"/>
    <w:rsid w:val="007720D8"/>
    <w:rsid w:val="00780B7F"/>
    <w:rsid w:val="00784855"/>
    <w:rsid w:val="0078542F"/>
    <w:rsid w:val="00787C46"/>
    <w:rsid w:val="00790043"/>
    <w:rsid w:val="00792911"/>
    <w:rsid w:val="00797BDC"/>
    <w:rsid w:val="007A0D67"/>
    <w:rsid w:val="007A32FD"/>
    <w:rsid w:val="007A4F50"/>
    <w:rsid w:val="007A5E4F"/>
    <w:rsid w:val="007B4007"/>
    <w:rsid w:val="007B41B0"/>
    <w:rsid w:val="007B4FCC"/>
    <w:rsid w:val="007B50C9"/>
    <w:rsid w:val="007B5487"/>
    <w:rsid w:val="007B65D0"/>
    <w:rsid w:val="007B6928"/>
    <w:rsid w:val="007B6D1D"/>
    <w:rsid w:val="007C3960"/>
    <w:rsid w:val="007C56ED"/>
    <w:rsid w:val="007C7CC8"/>
    <w:rsid w:val="007D1B10"/>
    <w:rsid w:val="007D2DE1"/>
    <w:rsid w:val="007D4E77"/>
    <w:rsid w:val="007D725C"/>
    <w:rsid w:val="007D7881"/>
    <w:rsid w:val="007E57A9"/>
    <w:rsid w:val="007E711B"/>
    <w:rsid w:val="007E716B"/>
    <w:rsid w:val="007F2E76"/>
    <w:rsid w:val="007F2F53"/>
    <w:rsid w:val="007F3733"/>
    <w:rsid w:val="007F71FD"/>
    <w:rsid w:val="0080503E"/>
    <w:rsid w:val="00806DA4"/>
    <w:rsid w:val="00810F1A"/>
    <w:rsid w:val="00812C36"/>
    <w:rsid w:val="008153BB"/>
    <w:rsid w:val="00816EE6"/>
    <w:rsid w:val="00817C42"/>
    <w:rsid w:val="0082056D"/>
    <w:rsid w:val="00824283"/>
    <w:rsid w:val="00826C90"/>
    <w:rsid w:val="0083168F"/>
    <w:rsid w:val="0083184C"/>
    <w:rsid w:val="008330FC"/>
    <w:rsid w:val="008337D5"/>
    <w:rsid w:val="00835890"/>
    <w:rsid w:val="00836A37"/>
    <w:rsid w:val="00840241"/>
    <w:rsid w:val="008405A5"/>
    <w:rsid w:val="008416A6"/>
    <w:rsid w:val="00844711"/>
    <w:rsid w:val="00844751"/>
    <w:rsid w:val="0085157F"/>
    <w:rsid w:val="008546EC"/>
    <w:rsid w:val="008564DE"/>
    <w:rsid w:val="00861F1F"/>
    <w:rsid w:val="00862004"/>
    <w:rsid w:val="00864429"/>
    <w:rsid w:val="0086615D"/>
    <w:rsid w:val="00866340"/>
    <w:rsid w:val="00866C5D"/>
    <w:rsid w:val="00871B7C"/>
    <w:rsid w:val="008739E5"/>
    <w:rsid w:val="00873FD3"/>
    <w:rsid w:val="0087661E"/>
    <w:rsid w:val="00880F7C"/>
    <w:rsid w:val="00881898"/>
    <w:rsid w:val="0088487C"/>
    <w:rsid w:val="00885C87"/>
    <w:rsid w:val="00890F23"/>
    <w:rsid w:val="008931CF"/>
    <w:rsid w:val="00895BDF"/>
    <w:rsid w:val="0089646B"/>
    <w:rsid w:val="008A1C29"/>
    <w:rsid w:val="008A296A"/>
    <w:rsid w:val="008A7DED"/>
    <w:rsid w:val="008B14CF"/>
    <w:rsid w:val="008B2C36"/>
    <w:rsid w:val="008B343B"/>
    <w:rsid w:val="008B589D"/>
    <w:rsid w:val="008B5C79"/>
    <w:rsid w:val="008B76C9"/>
    <w:rsid w:val="008C0A08"/>
    <w:rsid w:val="008C2A4C"/>
    <w:rsid w:val="008C387D"/>
    <w:rsid w:val="008C3F27"/>
    <w:rsid w:val="008C692E"/>
    <w:rsid w:val="008C75F5"/>
    <w:rsid w:val="008C7E2B"/>
    <w:rsid w:val="008D0387"/>
    <w:rsid w:val="008D1F2B"/>
    <w:rsid w:val="008D2251"/>
    <w:rsid w:val="008D3068"/>
    <w:rsid w:val="008D7651"/>
    <w:rsid w:val="008D7B2F"/>
    <w:rsid w:val="008E40B9"/>
    <w:rsid w:val="008E435A"/>
    <w:rsid w:val="008E772B"/>
    <w:rsid w:val="008F0B91"/>
    <w:rsid w:val="00903ED6"/>
    <w:rsid w:val="00905BCC"/>
    <w:rsid w:val="00907532"/>
    <w:rsid w:val="009139F2"/>
    <w:rsid w:val="00914D8C"/>
    <w:rsid w:val="0091662B"/>
    <w:rsid w:val="009274F9"/>
    <w:rsid w:val="00927EE7"/>
    <w:rsid w:val="009330E5"/>
    <w:rsid w:val="009333B0"/>
    <w:rsid w:val="009335FA"/>
    <w:rsid w:val="00935F0A"/>
    <w:rsid w:val="009363B9"/>
    <w:rsid w:val="00941504"/>
    <w:rsid w:val="009453D8"/>
    <w:rsid w:val="00945C13"/>
    <w:rsid w:val="009515B0"/>
    <w:rsid w:val="009531BC"/>
    <w:rsid w:val="0096271C"/>
    <w:rsid w:val="00963628"/>
    <w:rsid w:val="0096590B"/>
    <w:rsid w:val="009660A9"/>
    <w:rsid w:val="0096735A"/>
    <w:rsid w:val="009734FB"/>
    <w:rsid w:val="00975967"/>
    <w:rsid w:val="0098115B"/>
    <w:rsid w:val="009816B7"/>
    <w:rsid w:val="00982850"/>
    <w:rsid w:val="00982E29"/>
    <w:rsid w:val="00986AAF"/>
    <w:rsid w:val="009917B8"/>
    <w:rsid w:val="00991B14"/>
    <w:rsid w:val="009925D7"/>
    <w:rsid w:val="00994CC0"/>
    <w:rsid w:val="00997661"/>
    <w:rsid w:val="009A1016"/>
    <w:rsid w:val="009A2872"/>
    <w:rsid w:val="009A7187"/>
    <w:rsid w:val="009A78B3"/>
    <w:rsid w:val="009A7CFF"/>
    <w:rsid w:val="009B1B48"/>
    <w:rsid w:val="009B63F3"/>
    <w:rsid w:val="009B6F6F"/>
    <w:rsid w:val="009C1DED"/>
    <w:rsid w:val="009C3A0F"/>
    <w:rsid w:val="009C518D"/>
    <w:rsid w:val="009C6F6B"/>
    <w:rsid w:val="009C7A0D"/>
    <w:rsid w:val="009D1D40"/>
    <w:rsid w:val="009D383C"/>
    <w:rsid w:val="009D5407"/>
    <w:rsid w:val="009D575E"/>
    <w:rsid w:val="009D66CB"/>
    <w:rsid w:val="009D6EA9"/>
    <w:rsid w:val="009D72B5"/>
    <w:rsid w:val="009D72DB"/>
    <w:rsid w:val="009E10CF"/>
    <w:rsid w:val="009E33C4"/>
    <w:rsid w:val="009E49DA"/>
    <w:rsid w:val="009E5F2B"/>
    <w:rsid w:val="009F177E"/>
    <w:rsid w:val="009F1D79"/>
    <w:rsid w:val="009F31FB"/>
    <w:rsid w:val="009F6AC0"/>
    <w:rsid w:val="009F7E90"/>
    <w:rsid w:val="00A04E5E"/>
    <w:rsid w:val="00A07391"/>
    <w:rsid w:val="00A1081B"/>
    <w:rsid w:val="00A12C85"/>
    <w:rsid w:val="00A13C99"/>
    <w:rsid w:val="00A145F4"/>
    <w:rsid w:val="00A2021C"/>
    <w:rsid w:val="00A2126C"/>
    <w:rsid w:val="00A24773"/>
    <w:rsid w:val="00A26B28"/>
    <w:rsid w:val="00A304CC"/>
    <w:rsid w:val="00A30759"/>
    <w:rsid w:val="00A32DCB"/>
    <w:rsid w:val="00A33B48"/>
    <w:rsid w:val="00A404B7"/>
    <w:rsid w:val="00A405DB"/>
    <w:rsid w:val="00A45EB8"/>
    <w:rsid w:val="00A50002"/>
    <w:rsid w:val="00A5293F"/>
    <w:rsid w:val="00A552F9"/>
    <w:rsid w:val="00A56E3B"/>
    <w:rsid w:val="00A57273"/>
    <w:rsid w:val="00A6278E"/>
    <w:rsid w:val="00A63967"/>
    <w:rsid w:val="00A65964"/>
    <w:rsid w:val="00A67E3A"/>
    <w:rsid w:val="00A67F51"/>
    <w:rsid w:val="00A73AAA"/>
    <w:rsid w:val="00A74699"/>
    <w:rsid w:val="00A751B7"/>
    <w:rsid w:val="00A761DC"/>
    <w:rsid w:val="00A770D1"/>
    <w:rsid w:val="00A8306F"/>
    <w:rsid w:val="00A84E8C"/>
    <w:rsid w:val="00A84FE6"/>
    <w:rsid w:val="00A854D8"/>
    <w:rsid w:val="00A85818"/>
    <w:rsid w:val="00A87F14"/>
    <w:rsid w:val="00A90B92"/>
    <w:rsid w:val="00A90C44"/>
    <w:rsid w:val="00A91823"/>
    <w:rsid w:val="00A93CD1"/>
    <w:rsid w:val="00AA1660"/>
    <w:rsid w:val="00AB099E"/>
    <w:rsid w:val="00AB0A72"/>
    <w:rsid w:val="00AB2633"/>
    <w:rsid w:val="00AB4534"/>
    <w:rsid w:val="00AB5A99"/>
    <w:rsid w:val="00AC1154"/>
    <w:rsid w:val="00AC1CC1"/>
    <w:rsid w:val="00AC21C9"/>
    <w:rsid w:val="00AC2209"/>
    <w:rsid w:val="00AC5A55"/>
    <w:rsid w:val="00AD0BC4"/>
    <w:rsid w:val="00AD2082"/>
    <w:rsid w:val="00AD2AF0"/>
    <w:rsid w:val="00AD2D43"/>
    <w:rsid w:val="00AD59D0"/>
    <w:rsid w:val="00AD5E57"/>
    <w:rsid w:val="00AD6A17"/>
    <w:rsid w:val="00AE3BBE"/>
    <w:rsid w:val="00AE55B0"/>
    <w:rsid w:val="00AF0662"/>
    <w:rsid w:val="00AF30B1"/>
    <w:rsid w:val="00AF5E40"/>
    <w:rsid w:val="00AF5FB1"/>
    <w:rsid w:val="00AF76B7"/>
    <w:rsid w:val="00AF7D69"/>
    <w:rsid w:val="00B02101"/>
    <w:rsid w:val="00B04108"/>
    <w:rsid w:val="00B04141"/>
    <w:rsid w:val="00B05903"/>
    <w:rsid w:val="00B06D70"/>
    <w:rsid w:val="00B07D01"/>
    <w:rsid w:val="00B118E0"/>
    <w:rsid w:val="00B12E23"/>
    <w:rsid w:val="00B13801"/>
    <w:rsid w:val="00B13F75"/>
    <w:rsid w:val="00B14B51"/>
    <w:rsid w:val="00B157CD"/>
    <w:rsid w:val="00B15E0F"/>
    <w:rsid w:val="00B17B37"/>
    <w:rsid w:val="00B20166"/>
    <w:rsid w:val="00B2218E"/>
    <w:rsid w:val="00B224DB"/>
    <w:rsid w:val="00B2284C"/>
    <w:rsid w:val="00B236F8"/>
    <w:rsid w:val="00B248CA"/>
    <w:rsid w:val="00B25EAA"/>
    <w:rsid w:val="00B30876"/>
    <w:rsid w:val="00B3130D"/>
    <w:rsid w:val="00B32432"/>
    <w:rsid w:val="00B404A9"/>
    <w:rsid w:val="00B44456"/>
    <w:rsid w:val="00B4458A"/>
    <w:rsid w:val="00B44750"/>
    <w:rsid w:val="00B44900"/>
    <w:rsid w:val="00B4541C"/>
    <w:rsid w:val="00B460EB"/>
    <w:rsid w:val="00B502E6"/>
    <w:rsid w:val="00B5085B"/>
    <w:rsid w:val="00B55FD3"/>
    <w:rsid w:val="00B57E95"/>
    <w:rsid w:val="00B60154"/>
    <w:rsid w:val="00B61F3B"/>
    <w:rsid w:val="00B64DB8"/>
    <w:rsid w:val="00B662F1"/>
    <w:rsid w:val="00B6654D"/>
    <w:rsid w:val="00B67339"/>
    <w:rsid w:val="00B71865"/>
    <w:rsid w:val="00B72782"/>
    <w:rsid w:val="00B73877"/>
    <w:rsid w:val="00B73E97"/>
    <w:rsid w:val="00B741CD"/>
    <w:rsid w:val="00B7447C"/>
    <w:rsid w:val="00B7509F"/>
    <w:rsid w:val="00B76574"/>
    <w:rsid w:val="00B830F8"/>
    <w:rsid w:val="00B835CC"/>
    <w:rsid w:val="00B84C15"/>
    <w:rsid w:val="00B87708"/>
    <w:rsid w:val="00B94CDE"/>
    <w:rsid w:val="00B95192"/>
    <w:rsid w:val="00B95528"/>
    <w:rsid w:val="00BA297C"/>
    <w:rsid w:val="00BA6094"/>
    <w:rsid w:val="00BB2C5D"/>
    <w:rsid w:val="00BB4019"/>
    <w:rsid w:val="00BC132A"/>
    <w:rsid w:val="00BC168E"/>
    <w:rsid w:val="00BC505C"/>
    <w:rsid w:val="00BC5E24"/>
    <w:rsid w:val="00BC701E"/>
    <w:rsid w:val="00BC764D"/>
    <w:rsid w:val="00BC7F2B"/>
    <w:rsid w:val="00BD1D05"/>
    <w:rsid w:val="00BD1F4C"/>
    <w:rsid w:val="00BD3C50"/>
    <w:rsid w:val="00BD4E03"/>
    <w:rsid w:val="00BD7F9C"/>
    <w:rsid w:val="00BE093C"/>
    <w:rsid w:val="00BE14E0"/>
    <w:rsid w:val="00BE4984"/>
    <w:rsid w:val="00BE4EE0"/>
    <w:rsid w:val="00BE777E"/>
    <w:rsid w:val="00BF0EBD"/>
    <w:rsid w:val="00BF151B"/>
    <w:rsid w:val="00BF1937"/>
    <w:rsid w:val="00BF426D"/>
    <w:rsid w:val="00BF4EC7"/>
    <w:rsid w:val="00BF50A9"/>
    <w:rsid w:val="00BF5CF6"/>
    <w:rsid w:val="00C0179A"/>
    <w:rsid w:val="00C0434C"/>
    <w:rsid w:val="00C0485E"/>
    <w:rsid w:val="00C04FBA"/>
    <w:rsid w:val="00C11D79"/>
    <w:rsid w:val="00C126E1"/>
    <w:rsid w:val="00C13117"/>
    <w:rsid w:val="00C136E3"/>
    <w:rsid w:val="00C15531"/>
    <w:rsid w:val="00C159A8"/>
    <w:rsid w:val="00C17F88"/>
    <w:rsid w:val="00C2136E"/>
    <w:rsid w:val="00C21AE9"/>
    <w:rsid w:val="00C240B6"/>
    <w:rsid w:val="00C243BA"/>
    <w:rsid w:val="00C31756"/>
    <w:rsid w:val="00C31F7F"/>
    <w:rsid w:val="00C32166"/>
    <w:rsid w:val="00C3279B"/>
    <w:rsid w:val="00C34061"/>
    <w:rsid w:val="00C3490A"/>
    <w:rsid w:val="00C35E79"/>
    <w:rsid w:val="00C367E2"/>
    <w:rsid w:val="00C36A3D"/>
    <w:rsid w:val="00C37E2F"/>
    <w:rsid w:val="00C40259"/>
    <w:rsid w:val="00C42DBB"/>
    <w:rsid w:val="00C44420"/>
    <w:rsid w:val="00C4579F"/>
    <w:rsid w:val="00C52BA0"/>
    <w:rsid w:val="00C574C4"/>
    <w:rsid w:val="00C644C6"/>
    <w:rsid w:val="00C6464F"/>
    <w:rsid w:val="00C66081"/>
    <w:rsid w:val="00C6765C"/>
    <w:rsid w:val="00C676F1"/>
    <w:rsid w:val="00C73F59"/>
    <w:rsid w:val="00C74F29"/>
    <w:rsid w:val="00C757E0"/>
    <w:rsid w:val="00C75813"/>
    <w:rsid w:val="00C75C56"/>
    <w:rsid w:val="00C765DD"/>
    <w:rsid w:val="00C80BCF"/>
    <w:rsid w:val="00C81C7D"/>
    <w:rsid w:val="00C91918"/>
    <w:rsid w:val="00C92D73"/>
    <w:rsid w:val="00C9602D"/>
    <w:rsid w:val="00C9708E"/>
    <w:rsid w:val="00CA4A72"/>
    <w:rsid w:val="00CA65F9"/>
    <w:rsid w:val="00CA70A1"/>
    <w:rsid w:val="00CB0085"/>
    <w:rsid w:val="00CB1A96"/>
    <w:rsid w:val="00CB2BCD"/>
    <w:rsid w:val="00CB36D7"/>
    <w:rsid w:val="00CB3F5C"/>
    <w:rsid w:val="00CB57F7"/>
    <w:rsid w:val="00CB6749"/>
    <w:rsid w:val="00CC1535"/>
    <w:rsid w:val="00CC46C4"/>
    <w:rsid w:val="00CC61C6"/>
    <w:rsid w:val="00CC6C0E"/>
    <w:rsid w:val="00CD1557"/>
    <w:rsid w:val="00CD2440"/>
    <w:rsid w:val="00CD352C"/>
    <w:rsid w:val="00CD3703"/>
    <w:rsid w:val="00CD7C57"/>
    <w:rsid w:val="00CE327F"/>
    <w:rsid w:val="00CE5649"/>
    <w:rsid w:val="00CF0DA5"/>
    <w:rsid w:val="00CF3A41"/>
    <w:rsid w:val="00D01070"/>
    <w:rsid w:val="00D02027"/>
    <w:rsid w:val="00D0479D"/>
    <w:rsid w:val="00D04E46"/>
    <w:rsid w:val="00D05114"/>
    <w:rsid w:val="00D05684"/>
    <w:rsid w:val="00D059C8"/>
    <w:rsid w:val="00D10101"/>
    <w:rsid w:val="00D1142C"/>
    <w:rsid w:val="00D12397"/>
    <w:rsid w:val="00D12E76"/>
    <w:rsid w:val="00D207EF"/>
    <w:rsid w:val="00D21BD3"/>
    <w:rsid w:val="00D229A9"/>
    <w:rsid w:val="00D2609D"/>
    <w:rsid w:val="00D261E7"/>
    <w:rsid w:val="00D26939"/>
    <w:rsid w:val="00D31A08"/>
    <w:rsid w:val="00D32336"/>
    <w:rsid w:val="00D3238E"/>
    <w:rsid w:val="00D3267C"/>
    <w:rsid w:val="00D34895"/>
    <w:rsid w:val="00D41A8A"/>
    <w:rsid w:val="00D42125"/>
    <w:rsid w:val="00D46022"/>
    <w:rsid w:val="00D47CCE"/>
    <w:rsid w:val="00D539F2"/>
    <w:rsid w:val="00D53A3C"/>
    <w:rsid w:val="00D53D52"/>
    <w:rsid w:val="00D55D57"/>
    <w:rsid w:val="00D568BA"/>
    <w:rsid w:val="00D57A95"/>
    <w:rsid w:val="00D62208"/>
    <w:rsid w:val="00D628D5"/>
    <w:rsid w:val="00D62E87"/>
    <w:rsid w:val="00D651F7"/>
    <w:rsid w:val="00D66DD7"/>
    <w:rsid w:val="00D677AE"/>
    <w:rsid w:val="00D713F6"/>
    <w:rsid w:val="00D729AB"/>
    <w:rsid w:val="00D73825"/>
    <w:rsid w:val="00D74371"/>
    <w:rsid w:val="00D77528"/>
    <w:rsid w:val="00D80890"/>
    <w:rsid w:val="00D824F1"/>
    <w:rsid w:val="00D82521"/>
    <w:rsid w:val="00D82D13"/>
    <w:rsid w:val="00D83C3E"/>
    <w:rsid w:val="00D84173"/>
    <w:rsid w:val="00D8647C"/>
    <w:rsid w:val="00D90239"/>
    <w:rsid w:val="00D918E1"/>
    <w:rsid w:val="00D920AD"/>
    <w:rsid w:val="00D94C3D"/>
    <w:rsid w:val="00D95F2B"/>
    <w:rsid w:val="00D9764D"/>
    <w:rsid w:val="00DA27F4"/>
    <w:rsid w:val="00DA2E3F"/>
    <w:rsid w:val="00DA3080"/>
    <w:rsid w:val="00DA395D"/>
    <w:rsid w:val="00DA516E"/>
    <w:rsid w:val="00DA521E"/>
    <w:rsid w:val="00DB15D9"/>
    <w:rsid w:val="00DB1C54"/>
    <w:rsid w:val="00DB2B66"/>
    <w:rsid w:val="00DB30DF"/>
    <w:rsid w:val="00DB657D"/>
    <w:rsid w:val="00DC24F5"/>
    <w:rsid w:val="00DC3604"/>
    <w:rsid w:val="00DD2856"/>
    <w:rsid w:val="00DD69EE"/>
    <w:rsid w:val="00DE18E6"/>
    <w:rsid w:val="00DE4001"/>
    <w:rsid w:val="00DE587A"/>
    <w:rsid w:val="00DE5A88"/>
    <w:rsid w:val="00DE5E51"/>
    <w:rsid w:val="00DE64A1"/>
    <w:rsid w:val="00DF0EE9"/>
    <w:rsid w:val="00DF2864"/>
    <w:rsid w:val="00DF4B86"/>
    <w:rsid w:val="00DF5D2F"/>
    <w:rsid w:val="00E014B2"/>
    <w:rsid w:val="00E01ADA"/>
    <w:rsid w:val="00E01BC8"/>
    <w:rsid w:val="00E02C4C"/>
    <w:rsid w:val="00E07907"/>
    <w:rsid w:val="00E079D4"/>
    <w:rsid w:val="00E11336"/>
    <w:rsid w:val="00E165DE"/>
    <w:rsid w:val="00E17E10"/>
    <w:rsid w:val="00E20D5F"/>
    <w:rsid w:val="00E224DE"/>
    <w:rsid w:val="00E2573D"/>
    <w:rsid w:val="00E30881"/>
    <w:rsid w:val="00E31BC0"/>
    <w:rsid w:val="00E33726"/>
    <w:rsid w:val="00E35BB0"/>
    <w:rsid w:val="00E3693C"/>
    <w:rsid w:val="00E36B7F"/>
    <w:rsid w:val="00E407B5"/>
    <w:rsid w:val="00E419A0"/>
    <w:rsid w:val="00E44522"/>
    <w:rsid w:val="00E45626"/>
    <w:rsid w:val="00E46C45"/>
    <w:rsid w:val="00E513A2"/>
    <w:rsid w:val="00E532A9"/>
    <w:rsid w:val="00E53972"/>
    <w:rsid w:val="00E563F1"/>
    <w:rsid w:val="00E569AC"/>
    <w:rsid w:val="00E56CB9"/>
    <w:rsid w:val="00E60694"/>
    <w:rsid w:val="00E63052"/>
    <w:rsid w:val="00E658F5"/>
    <w:rsid w:val="00E676E5"/>
    <w:rsid w:val="00E705BE"/>
    <w:rsid w:val="00E7332D"/>
    <w:rsid w:val="00E736E9"/>
    <w:rsid w:val="00E77771"/>
    <w:rsid w:val="00E81BCB"/>
    <w:rsid w:val="00E857B0"/>
    <w:rsid w:val="00E9045D"/>
    <w:rsid w:val="00EA2D25"/>
    <w:rsid w:val="00EA388F"/>
    <w:rsid w:val="00EA46B3"/>
    <w:rsid w:val="00EA65D7"/>
    <w:rsid w:val="00EB0470"/>
    <w:rsid w:val="00EB0EE9"/>
    <w:rsid w:val="00EB1B0E"/>
    <w:rsid w:val="00EB263D"/>
    <w:rsid w:val="00EB2E2F"/>
    <w:rsid w:val="00EB4097"/>
    <w:rsid w:val="00EB7421"/>
    <w:rsid w:val="00EC0C5D"/>
    <w:rsid w:val="00EC2EC2"/>
    <w:rsid w:val="00EC5B6F"/>
    <w:rsid w:val="00EC701B"/>
    <w:rsid w:val="00EC733C"/>
    <w:rsid w:val="00ED0545"/>
    <w:rsid w:val="00ED0857"/>
    <w:rsid w:val="00ED14F4"/>
    <w:rsid w:val="00ED39B6"/>
    <w:rsid w:val="00ED3F2C"/>
    <w:rsid w:val="00ED69D4"/>
    <w:rsid w:val="00ED6B83"/>
    <w:rsid w:val="00EE1DA7"/>
    <w:rsid w:val="00EE4160"/>
    <w:rsid w:val="00EF0590"/>
    <w:rsid w:val="00EF46D7"/>
    <w:rsid w:val="00F003A7"/>
    <w:rsid w:val="00F01A27"/>
    <w:rsid w:val="00F07891"/>
    <w:rsid w:val="00F106FA"/>
    <w:rsid w:val="00F1522E"/>
    <w:rsid w:val="00F163EB"/>
    <w:rsid w:val="00F1789E"/>
    <w:rsid w:val="00F213DA"/>
    <w:rsid w:val="00F252D0"/>
    <w:rsid w:val="00F26066"/>
    <w:rsid w:val="00F312ED"/>
    <w:rsid w:val="00F331FF"/>
    <w:rsid w:val="00F34EAC"/>
    <w:rsid w:val="00F350BA"/>
    <w:rsid w:val="00F35BA9"/>
    <w:rsid w:val="00F37717"/>
    <w:rsid w:val="00F446F1"/>
    <w:rsid w:val="00F51E84"/>
    <w:rsid w:val="00F51EBA"/>
    <w:rsid w:val="00F53863"/>
    <w:rsid w:val="00F57C06"/>
    <w:rsid w:val="00F6697A"/>
    <w:rsid w:val="00F66BF1"/>
    <w:rsid w:val="00F746EB"/>
    <w:rsid w:val="00F74E70"/>
    <w:rsid w:val="00F7641E"/>
    <w:rsid w:val="00F76C9B"/>
    <w:rsid w:val="00F819E7"/>
    <w:rsid w:val="00F83F23"/>
    <w:rsid w:val="00F85FD1"/>
    <w:rsid w:val="00F86EDF"/>
    <w:rsid w:val="00F87116"/>
    <w:rsid w:val="00F87859"/>
    <w:rsid w:val="00F902F6"/>
    <w:rsid w:val="00F93AD8"/>
    <w:rsid w:val="00F959F2"/>
    <w:rsid w:val="00FA14A7"/>
    <w:rsid w:val="00FA187E"/>
    <w:rsid w:val="00FA6ABC"/>
    <w:rsid w:val="00FA7488"/>
    <w:rsid w:val="00FA74FF"/>
    <w:rsid w:val="00FB01F8"/>
    <w:rsid w:val="00FB7087"/>
    <w:rsid w:val="00FB723F"/>
    <w:rsid w:val="00FC40F7"/>
    <w:rsid w:val="00FD0340"/>
    <w:rsid w:val="00FD1BE5"/>
    <w:rsid w:val="00FD412B"/>
    <w:rsid w:val="00FD4331"/>
    <w:rsid w:val="00FD47BD"/>
    <w:rsid w:val="00FD538A"/>
    <w:rsid w:val="00FD6622"/>
    <w:rsid w:val="00FD691A"/>
    <w:rsid w:val="00FD6A02"/>
    <w:rsid w:val="00FE1A0F"/>
    <w:rsid w:val="00FE24A2"/>
    <w:rsid w:val="00FE2A1F"/>
    <w:rsid w:val="00FE4F20"/>
    <w:rsid w:val="00FE786B"/>
    <w:rsid w:val="00FE7942"/>
    <w:rsid w:val="00FF0170"/>
    <w:rsid w:val="00FF1769"/>
    <w:rsid w:val="00FF1F92"/>
    <w:rsid w:val="00FF2EC2"/>
    <w:rsid w:val="00FF5BDF"/>
    <w:rsid w:val="00FF5D73"/>
    <w:rsid w:val="00FF66C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EF4FD"/>
  <w15:docId w15:val="{60A27C6E-4C02-443D-9811-49A6AE6E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C46C4"/>
  </w:style>
  <w:style w:type="paragraph" w:styleId="NormalWeb">
    <w:name w:val="Normal (Web)"/>
    <w:basedOn w:val="Normal"/>
    <w:uiPriority w:val="99"/>
    <w:semiHidden/>
    <w:unhideWhenUsed/>
    <w:rsid w:val="007131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zacixmlChar">
    <w:name w:val="abzaci_xml Char"/>
    <w:link w:val="abzacixml"/>
    <w:uiPriority w:val="99"/>
    <w:locked/>
    <w:rsid w:val="00D47CCE"/>
    <w:rPr>
      <w:rFonts w:ascii="Sylfaen" w:hAnsi="Sylfaen"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uiPriority w:val="99"/>
    <w:rsid w:val="00D47CCE"/>
    <w:pPr>
      <w:ind w:firstLine="630"/>
      <w:jc w:val="both"/>
    </w:pPr>
    <w:rPr>
      <w:rFonts w:ascii="Sylfaen" w:hAnsi="Sylfaen" w:cstheme="minorBidi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C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CC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0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B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0B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ED"/>
  </w:style>
  <w:style w:type="paragraph" w:styleId="Footer">
    <w:name w:val="footer"/>
    <w:basedOn w:val="Normal"/>
    <w:link w:val="Foot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ED"/>
  </w:style>
  <w:style w:type="character" w:styleId="Hyperlink">
    <w:name w:val="Hyperlink"/>
    <w:basedOn w:val="DefaultParagraphFont"/>
    <w:uiPriority w:val="99"/>
    <w:unhideWhenUsed/>
    <w:rsid w:val="00B75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2AE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4150CD"/>
    <w:pPr>
      <w:tabs>
        <w:tab w:val="right" w:pos="9120"/>
      </w:tabs>
      <w:spacing w:after="240" w:line="360" w:lineRule="auto"/>
      <w:ind w:firstLine="480"/>
    </w:pPr>
    <w:rPr>
      <w:rFonts w:ascii="LitNusx" w:eastAsia="Times New Roman" w:hAnsi="LitNusx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0CD"/>
    <w:rPr>
      <w:rFonts w:ascii="LitNusx" w:eastAsia="Times New Roman" w:hAnsi="LitNusx" w:cs="Times New Roman"/>
      <w:sz w:val="28"/>
      <w:szCs w:val="20"/>
    </w:rPr>
  </w:style>
  <w:style w:type="paragraph" w:customStyle="1" w:styleId="Default">
    <w:name w:val="Default"/>
    <w:rsid w:val="000A05E4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customStyle="1" w:styleId="Normal22">
    <w:name w:val="Normal_22"/>
    <w:qFormat/>
    <w:rsid w:val="00A405DB"/>
    <w:pPr>
      <w:spacing w:after="180"/>
    </w:pPr>
    <w:rPr>
      <w:rFonts w:ascii="Verdana" w:eastAsia="Times New Roman" w:hAnsi="Verdana" w:cs="Times New Roman"/>
      <w:sz w:val="24"/>
      <w:szCs w:val="24"/>
    </w:rPr>
  </w:style>
  <w:style w:type="paragraph" w:customStyle="1" w:styleId="Normal25">
    <w:name w:val="Normal_25"/>
    <w:qFormat/>
    <w:rsid w:val="00A405DB"/>
    <w:pPr>
      <w:spacing w:after="180"/>
    </w:pPr>
    <w:rPr>
      <w:rFonts w:ascii="Verdana" w:eastAsia="Times New Roman" w:hAnsi="Verdana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32625"/>
    <w:rPr>
      <w:color w:val="800080"/>
      <w:u w:val="single"/>
    </w:rPr>
  </w:style>
  <w:style w:type="paragraph" w:customStyle="1" w:styleId="msonormal0">
    <w:name w:val="msonormal"/>
    <w:basedOn w:val="Normal"/>
    <w:rsid w:val="0003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3262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03262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03262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xl35634">
    <w:name w:val="xl35634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5">
    <w:name w:val="xl35635"/>
    <w:basedOn w:val="Normal"/>
    <w:rsid w:val="0003262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6">
    <w:name w:val="xl35636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C00000"/>
      <w:sz w:val="24"/>
      <w:szCs w:val="24"/>
    </w:rPr>
  </w:style>
  <w:style w:type="paragraph" w:customStyle="1" w:styleId="xl35637">
    <w:name w:val="xl35637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8">
    <w:name w:val="xl35638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9">
    <w:name w:val="xl35639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40">
    <w:name w:val="xl35640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641">
    <w:name w:val="xl35641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2">
    <w:name w:val="xl35642"/>
    <w:basedOn w:val="Normal"/>
    <w:rsid w:val="00032625"/>
    <w:pPr>
      <w:pBdr>
        <w:top w:val="double" w:sz="6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3">
    <w:name w:val="xl3564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4">
    <w:name w:val="xl35644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5">
    <w:name w:val="xl35645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6">
    <w:name w:val="xl35646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7">
    <w:name w:val="xl35647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8">
    <w:name w:val="xl35648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9">
    <w:name w:val="xl35649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0">
    <w:name w:val="xl35650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1">
    <w:name w:val="xl35651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2">
    <w:name w:val="xl35652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3">
    <w:name w:val="xl35653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4">
    <w:name w:val="xl35654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5">
    <w:name w:val="xl3565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6">
    <w:name w:val="xl35656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7">
    <w:name w:val="xl35657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8">
    <w:name w:val="xl35658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9">
    <w:name w:val="xl35659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0">
    <w:name w:val="xl35660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1">
    <w:name w:val="xl35661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2">
    <w:name w:val="xl35662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3">
    <w:name w:val="xl35663"/>
    <w:basedOn w:val="Normal"/>
    <w:rsid w:val="000326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4">
    <w:name w:val="xl35664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5">
    <w:name w:val="xl3566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6">
    <w:name w:val="xl35666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7">
    <w:name w:val="xl35667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8">
    <w:name w:val="xl3566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9">
    <w:name w:val="xl35669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0">
    <w:name w:val="xl35670"/>
    <w:basedOn w:val="Normal"/>
    <w:rsid w:val="000326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1">
    <w:name w:val="xl35671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72">
    <w:name w:val="xl35672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3">
    <w:name w:val="xl35673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4">
    <w:name w:val="xl35674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5">
    <w:name w:val="xl35675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6">
    <w:name w:val="xl35676"/>
    <w:basedOn w:val="Normal"/>
    <w:rsid w:val="00032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7">
    <w:name w:val="xl35677"/>
    <w:basedOn w:val="Normal"/>
    <w:rsid w:val="00032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8">
    <w:name w:val="xl35678"/>
    <w:basedOn w:val="Normal"/>
    <w:rsid w:val="000326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9">
    <w:name w:val="xl35679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0">
    <w:name w:val="xl35680"/>
    <w:basedOn w:val="Normal"/>
    <w:rsid w:val="0003262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1">
    <w:name w:val="xl35681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2">
    <w:name w:val="xl35682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3">
    <w:name w:val="xl3568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4">
    <w:name w:val="xl35684"/>
    <w:basedOn w:val="Normal"/>
    <w:rsid w:val="0003262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685">
    <w:name w:val="xl3568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6">
    <w:name w:val="xl35686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7">
    <w:name w:val="xl35687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8">
    <w:name w:val="xl3568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9">
    <w:name w:val="xl35689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90">
    <w:name w:val="xl35690"/>
    <w:basedOn w:val="Normal"/>
    <w:rsid w:val="0003262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1">
    <w:name w:val="xl35691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2">
    <w:name w:val="xl35692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3">
    <w:name w:val="xl35693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4">
    <w:name w:val="xl35694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5">
    <w:name w:val="xl3569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6">
    <w:name w:val="xl35696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7">
    <w:name w:val="xl35697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8">
    <w:name w:val="xl35698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9">
    <w:name w:val="xl35699"/>
    <w:basedOn w:val="Normal"/>
    <w:rsid w:val="00032625"/>
    <w:pPr>
      <w:pBdr>
        <w:top w:val="single" w:sz="4" w:space="0" w:color="auto"/>
        <w:left w:val="single" w:sz="8" w:space="0" w:color="auto"/>
        <w:bottom w:val="dotted" w:sz="4" w:space="0" w:color="A6A6A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0">
    <w:name w:val="xl35700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1">
    <w:name w:val="xl35701"/>
    <w:basedOn w:val="Normal"/>
    <w:rsid w:val="0003262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702">
    <w:name w:val="xl35702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3">
    <w:name w:val="xl35703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4">
    <w:name w:val="xl35704"/>
    <w:basedOn w:val="Normal"/>
    <w:rsid w:val="000326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5">
    <w:name w:val="xl3570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6">
    <w:name w:val="xl35706"/>
    <w:basedOn w:val="Normal"/>
    <w:rsid w:val="0003262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7">
    <w:name w:val="xl35707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8">
    <w:name w:val="xl35708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9">
    <w:name w:val="xl35709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10">
    <w:name w:val="xl35710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1">
    <w:name w:val="xl35711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2">
    <w:name w:val="xl35712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13">
    <w:name w:val="xl3571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14">
    <w:name w:val="xl35714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15">
    <w:name w:val="xl3571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6">
    <w:name w:val="xl35716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7">
    <w:name w:val="xl35717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8">
    <w:name w:val="xl35718"/>
    <w:basedOn w:val="Normal"/>
    <w:rsid w:val="0003262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9">
    <w:name w:val="xl35719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20">
    <w:name w:val="xl35720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21">
    <w:name w:val="xl35721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22">
    <w:name w:val="xl35722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3">
    <w:name w:val="xl35723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4">
    <w:name w:val="xl35724"/>
    <w:basedOn w:val="Normal"/>
    <w:rsid w:val="00032625"/>
    <w:pPr>
      <w:pBdr>
        <w:left w:val="single" w:sz="8" w:space="0" w:color="auto"/>
        <w:bottom w:val="dotted" w:sz="4" w:space="0" w:color="A6A6A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5">
    <w:name w:val="xl3572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6">
    <w:name w:val="xl35726"/>
    <w:basedOn w:val="Normal"/>
    <w:rsid w:val="0003262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7">
    <w:name w:val="xl35727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8">
    <w:name w:val="xl35728"/>
    <w:basedOn w:val="Normal"/>
    <w:rsid w:val="00032625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9">
    <w:name w:val="xl35729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0">
    <w:name w:val="xl35730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1">
    <w:name w:val="xl35731"/>
    <w:basedOn w:val="Normal"/>
    <w:rsid w:val="0003262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2">
    <w:name w:val="xl35732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3">
    <w:name w:val="xl35733"/>
    <w:basedOn w:val="Normal"/>
    <w:rsid w:val="00032625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4">
    <w:name w:val="xl35734"/>
    <w:basedOn w:val="Normal"/>
    <w:rsid w:val="0003262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5">
    <w:name w:val="xl35735"/>
    <w:basedOn w:val="Normal"/>
    <w:rsid w:val="0003262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6">
    <w:name w:val="xl35736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7">
    <w:name w:val="xl35737"/>
    <w:basedOn w:val="Normal"/>
    <w:rsid w:val="0003262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8">
    <w:name w:val="xl35738"/>
    <w:basedOn w:val="Normal"/>
    <w:rsid w:val="0003262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9">
    <w:name w:val="xl35739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0">
    <w:name w:val="xl35740"/>
    <w:basedOn w:val="Normal"/>
    <w:rsid w:val="00032625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1">
    <w:name w:val="xl35741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2">
    <w:name w:val="xl35742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3">
    <w:name w:val="xl35743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4">
    <w:name w:val="xl35744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5">
    <w:name w:val="xl3574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6">
    <w:name w:val="xl35746"/>
    <w:basedOn w:val="Normal"/>
    <w:rsid w:val="00032625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47">
    <w:name w:val="xl35747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8">
    <w:name w:val="xl3574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9">
    <w:name w:val="xl35749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0">
    <w:name w:val="xl35750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1">
    <w:name w:val="xl35751"/>
    <w:basedOn w:val="Normal"/>
    <w:rsid w:val="0003262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2">
    <w:name w:val="xl35752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3">
    <w:name w:val="xl35753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4">
    <w:name w:val="xl35754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5">
    <w:name w:val="xl35755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6">
    <w:name w:val="xl35756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7">
    <w:name w:val="xl35757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8">
    <w:name w:val="xl35758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9">
    <w:name w:val="xl35759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0">
    <w:name w:val="xl35760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1">
    <w:name w:val="xl35761"/>
    <w:basedOn w:val="Normal"/>
    <w:rsid w:val="000326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2">
    <w:name w:val="xl35762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3">
    <w:name w:val="xl3576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4">
    <w:name w:val="xl35764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5">
    <w:name w:val="xl35765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6">
    <w:name w:val="xl35766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67">
    <w:name w:val="xl35767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68">
    <w:name w:val="xl35768"/>
    <w:basedOn w:val="Normal"/>
    <w:rsid w:val="0003262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9">
    <w:name w:val="xl35769"/>
    <w:basedOn w:val="Normal"/>
    <w:rsid w:val="0003262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0">
    <w:name w:val="xl35770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1">
    <w:name w:val="xl35771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2">
    <w:name w:val="xl35772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3">
    <w:name w:val="xl3577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4">
    <w:name w:val="xl35774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5">
    <w:name w:val="xl35775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6">
    <w:name w:val="xl35776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7">
    <w:name w:val="xl35777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8">
    <w:name w:val="xl35778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9">
    <w:name w:val="xl35779"/>
    <w:basedOn w:val="Normal"/>
    <w:rsid w:val="0003262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0">
    <w:name w:val="xl35780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1">
    <w:name w:val="xl35781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2">
    <w:name w:val="xl35782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3">
    <w:name w:val="xl3578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4">
    <w:name w:val="xl35784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5">
    <w:name w:val="xl35785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6">
    <w:name w:val="xl35786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7">
    <w:name w:val="xl35787"/>
    <w:basedOn w:val="Normal"/>
    <w:rsid w:val="00032625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88">
    <w:name w:val="xl35788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MAR\report\Average%20Weighted%20Interest%20Rate_2020%20MAR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ser\Desktop\OCT\Report\Average%20Weighted%20Interest%20Rate_2020%2031%20OCT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OCT\Report\Average%20Weighted%20Interest%20Rate_2020%2031%20OC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3289362469298831E-2"/>
          <c:y val="0.10064981982793048"/>
          <c:w val="0.98634422421335266"/>
          <c:h val="0.89875897588273168"/>
        </c:manualLayout>
      </c:layout>
      <c:ofPieChart>
        <c:ofPieType val="bar"/>
        <c:varyColors val="1"/>
        <c:ser>
          <c:idx val="0"/>
          <c:order val="0"/>
          <c:tx>
            <c:strRef>
              <c:f>'GVT მარტი'!$P$32</c:f>
              <c:strCache>
                <c:ptCount val="1"/>
                <c:pt idx="0">
                  <c:v> საშინაო </c:v>
                </c:pt>
              </c:strCache>
            </c:strRef>
          </c:tx>
          <c:spPr>
            <a:ln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 w="88900"/>
            </a:sp3d>
          </c:spPr>
          <c:dPt>
            <c:idx val="0"/>
            <c:bubble3D val="0"/>
            <c:explosion val="4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1-6C6F-44DC-B449-9671B51A1B2E}"/>
              </c:ext>
            </c:extLst>
          </c:dPt>
          <c:dPt>
            <c:idx val="1"/>
            <c:bubble3D val="0"/>
            <c:spPr>
              <a:solidFill>
                <a:srgbClr val="A5C6F7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3-6C6F-44DC-B449-9671B51A1B2E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5-6C6F-44DC-B449-9671B51A1B2E}"/>
              </c:ext>
            </c:extLst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7-6C6F-44DC-B449-9671B51A1B2E}"/>
              </c:ext>
            </c:extLst>
          </c:dPt>
          <c:dPt>
            <c:idx val="4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9-6C6F-44DC-B449-9671B51A1B2E}"/>
              </c:ext>
            </c:extLst>
          </c:dPt>
          <c:dPt>
            <c:idx val="5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B-6C6F-44DC-B449-9671B51A1B2E}"/>
              </c:ext>
            </c:extLst>
          </c:dPt>
          <c:dLbls>
            <c:dLbl>
              <c:idx val="0"/>
              <c:layout>
                <c:manualLayout>
                  <c:x val="0.11114534388923454"/>
                  <c:y val="5.1229518640267058E-3"/>
                </c:manualLayout>
              </c:layout>
              <c:tx>
                <c:rich>
                  <a:bodyPr/>
                  <a:lstStyle/>
                  <a:p>
                    <a:r>
                      <a:rPr lang="ka-GE" sz="900"/>
                      <a:t> საშინაო 
21%</a:t>
                    </a:r>
                    <a:endParaRPr lang="ka-GE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6F-44DC-B449-9671B51A1B2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მრავალმხრივი
56%</a:t>
                    </a:r>
                  </a:p>
                </c:rich>
              </c:tx>
              <c:spPr>
                <a:noFill/>
              </c:sp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C6F-44DC-B449-9671B51A1B2E}"/>
                </c:ext>
              </c:extLst>
            </c:dLbl>
            <c:dLbl>
              <c:idx val="2"/>
              <c:layout>
                <c:manualLayout>
                  <c:x val="-0.12974489905383094"/>
                  <c:y val="-2.4269375654468062E-3"/>
                </c:manualLayout>
              </c:layout>
              <c:tx>
                <c:rich>
                  <a:bodyPr/>
                  <a:lstStyle/>
                  <a:p>
                    <a:fld id="{A12E743F-15B9-46A9-B71D-F6AD22838EBC}" type="CATEGORYNAME">
                      <a:rPr lang="ka-GE"/>
                      <a:pPr/>
                      <a:t>[CATEGORY NAME]</a:t>
                    </a:fld>
                    <a:r>
                      <a:rPr lang="ka-GE" baseline="0"/>
                      <a:t>
17%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466848319709356"/>
                      <c:h val="0.1609671848013816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C6F-44DC-B449-9671B51A1B2E}"/>
                </c:ext>
              </c:extLst>
            </c:dLbl>
            <c:dLbl>
              <c:idx val="3"/>
              <c:layout>
                <c:manualLayout>
                  <c:x val="-6.677208264498273E-2"/>
                  <c:y val="-6.3299470985817155E-3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fld id="{2487489D-5AE6-42DF-A20C-711714267CF7}" type="CATEGORYNAME">
                      <a:rPr lang="ka-GE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  <a:latin typeface="Calibri" pitchFamily="34" charset="0"/>
                        </a:defRPr>
                      </a:pPr>
                      <a:t>[CATEGORY NAME]</a:t>
                    </a:fld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 6</a:t>
                    </a:r>
                    <a:r>
                      <a:rPr lang="ka-GE" sz="800" baseline="0">
                        <a:solidFill>
                          <a:sysClr val="windowText" lastClr="000000"/>
                        </a:solidFill>
                      </a:rPr>
                      <a:t>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415470809602342"/>
                      <c:h val="9.590088475814566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6C6F-44DC-B449-9671B51A1B2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C6F-44DC-B449-9671B51A1B2E}"/>
                </c:ext>
              </c:extLst>
            </c:dLbl>
            <c:dLbl>
              <c:idx val="5"/>
              <c:layout>
                <c:manualLayout>
                  <c:x val="-0.18524433764580517"/>
                  <c:y val="-1.1840670175295508E-2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900" dirty="0">
                        <a:solidFill>
                          <a:sysClr val="windowText" lastClr="000000"/>
                        </a:solidFill>
                      </a:rPr>
                      <a:t>საგარეო
79%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C6F-44DC-B449-9671B51A1B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  <a:latin typeface="Calibri" pitchFamily="34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'GVT მარტი'!$P$32:$P$36</c:f>
              <c:strCache>
                <c:ptCount val="5"/>
                <c:pt idx="0">
                  <c:v> საშინაო 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  <c:pt idx="4">
                  <c:v>გარანტირებული</c:v>
                </c:pt>
              </c:strCache>
            </c:strRef>
          </c:cat>
          <c:val>
            <c:numRef>
              <c:f>'GVT მარტი'!$Q$32:$Q$36</c:f>
              <c:numCache>
                <c:formatCode>_(* #,##0_);_(* \(#,##0\);_(* "-"??_);_(@_)</c:formatCode>
                <c:ptCount val="5"/>
                <c:pt idx="0">
                  <c:v>4511786.9675800009</c:v>
                </c:pt>
                <c:pt idx="1">
                  <c:v>12779704.201760996</c:v>
                </c:pt>
                <c:pt idx="2">
                  <c:v>3448798.7942369478</c:v>
                </c:pt>
                <c:pt idx="3">
                  <c:v>1642250</c:v>
                </c:pt>
                <c:pt idx="4">
                  <c:v>5456.7829030000003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C6F-44DC-B449-9671B51A1B2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gapWidth val="66"/>
        <c:splitType val="pos"/>
        <c:splitPos val="4"/>
        <c:secondPieSize val="99"/>
        <c:serLines/>
      </c:ofPie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40"/>
      <c:rotY val="81"/>
      <c:rAngAx val="0"/>
      <c:perspective val="4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460432412503621"/>
          <c:y val="0.21857398002764447"/>
          <c:w val="0.7366291485513895"/>
          <c:h val="0.73605491621239671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8"/>
          <c:dPt>
            <c:idx val="0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5081-4972-AEE2-3808A9CB1816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5081-4972-AEE2-3808A9CB1816}"/>
              </c:ext>
            </c:extLst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5081-4972-AEE2-3808A9CB1816}"/>
              </c:ext>
            </c:extLst>
          </c:dPt>
          <c:dLbls>
            <c:dLbl>
              <c:idx val="0"/>
              <c:layout>
                <c:manualLayout>
                  <c:x val="-0.1923726852868736"/>
                  <c:y val="-0.23747377987245261"/>
                </c:manualLayout>
              </c:layout>
              <c:numFmt formatCode="0%" sourceLinked="0"/>
              <c:spPr/>
              <c:txPr>
                <a:bodyPr/>
                <a:lstStyle/>
                <a:p>
                  <a:pPr>
                    <a:defRPr sz="800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081-4972-AEE2-3808A9CB1816}"/>
                </c:ext>
              </c:extLst>
            </c:dLbl>
            <c:dLbl>
              <c:idx val="1"/>
              <c:layout>
                <c:manualLayout>
                  <c:x val="0.17752514359275701"/>
                  <c:y val="1.39085991535505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081-4972-AEE2-3808A9CB1816}"/>
                </c:ext>
              </c:extLst>
            </c:dLbl>
            <c:dLbl>
              <c:idx val="2"/>
              <c:layout>
                <c:manualLayout>
                  <c:x val="-0.11856446541340979"/>
                  <c:y val="0.1926216051586567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081-4972-AEE2-3808A9CB1816}"/>
                </c:ext>
              </c:extLst>
            </c:dLbl>
            <c:dLbl>
              <c:idx val="3"/>
              <c:numFmt formatCode="0%" sourceLinked="0"/>
              <c:spPr/>
              <c:txPr>
                <a:bodyPr/>
                <a:lstStyle/>
                <a:p>
                  <a:pPr>
                    <a:defRPr sz="800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081-4972-AEE2-3808A9CB1816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GVT'!$K$51:$K$54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GVT'!$M$51:$M$54</c:f>
              <c:numCache>
                <c:formatCode>0%</c:formatCode>
                <c:ptCount val="4"/>
                <c:pt idx="0">
                  <c:v>0.42030205467705289</c:v>
                </c:pt>
                <c:pt idx="1">
                  <c:v>0.26883764891736539</c:v>
                </c:pt>
                <c:pt idx="2">
                  <c:v>0.27724464243367464</c:v>
                </c:pt>
                <c:pt idx="3">
                  <c:v>3.3615653971907099E-2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081-4972-AEE2-3808A9CB1816}"/>
            </c:ext>
          </c:extLst>
        </c:ser>
        <c:ser>
          <c:idx val="1"/>
          <c:order val="1"/>
          <c:explosion val="25"/>
          <c:cat>
            <c:strRef>
              <c:f>'SEP-20 GVT'!$K$51:$K$54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GVT'!$M$50:$M$54</c:f>
              <c:numCache>
                <c:formatCode>0%</c:formatCode>
                <c:ptCount val="5"/>
                <c:pt idx="1">
                  <c:v>0.42030205467705289</c:v>
                </c:pt>
                <c:pt idx="2">
                  <c:v>0.26883764891736539</c:v>
                </c:pt>
                <c:pt idx="3">
                  <c:v>0.27724464243367464</c:v>
                </c:pt>
                <c:pt idx="4">
                  <c:v>3.3615653971907099E-2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081-4972-AEE2-3808A9CB18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900" b="0"/>
            </a:pPr>
            <a:r>
              <a:rPr lang="ka-GE" sz="900" b="0" i="0" u="none" strike="noStrike" baseline="0"/>
              <a:t>საპროცენტო განაკვეთის ტიპი</a:t>
            </a:r>
            <a:endParaRPr lang="en-US" sz="900" b="0"/>
          </a:p>
        </c:rich>
      </c:tx>
      <c:layout>
        <c:manualLayout>
          <c:xMode val="edge"/>
          <c:yMode val="edge"/>
          <c:x val="0.15969266662180048"/>
          <c:y val="0"/>
        </c:manualLayout>
      </c:layout>
      <c:overlay val="0"/>
    </c:title>
    <c:autoTitleDeleted val="0"/>
    <c:view3D>
      <c:rotX val="40"/>
      <c:rotY val="2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1502344258249767E-2"/>
          <c:y val="0.25312899645933518"/>
          <c:w val="0.93710119568387285"/>
          <c:h val="0.74687100354066482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9"/>
          <c:dPt>
            <c:idx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40000" dist="23000" dir="5400000" sx="1000" sy="1000" rotWithShape="0">
                  <a:schemeClr val="bg1">
                    <a:alpha val="35000"/>
                  </a:scheme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1C7-4333-85A6-28A4B873D902}"/>
              </c:ext>
            </c:extLst>
          </c:dPt>
          <c:dPt>
            <c:idx val="1"/>
            <c:bubble3D val="0"/>
            <c:explosion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D1C7-4333-85A6-28A4B873D902}"/>
              </c:ext>
            </c:extLst>
          </c:dPt>
          <c:dLbls>
            <c:dLbl>
              <c:idx val="0"/>
              <c:layout>
                <c:manualLayout>
                  <c:x val="-0.11590016613749321"/>
                  <c:y val="-0.14401580500970498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fld id="{38A9DE4D-14D6-4041-8AC4-B3A9C5F1956F}" type="CATEGORYNAME">
                      <a:rPr lang="ka-GE" sz="800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sz="800" baseline="0"/>
                      <a:t>
</a:t>
                    </a:r>
                    <a:fld id="{3D9BB977-024E-425F-9856-A55C8B02923C}" type="PERCENTAGE">
                      <a:rPr lang="ka-GE" sz="800" baseline="0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[PERCENTAGE]</a:t>
                    </a:fld>
                    <a:endParaRPr lang="ka-GE" sz="800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9245171276667346"/>
                      <c:h val="0.3109506949215240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1C7-4333-85A6-28A4B873D902}"/>
                </c:ext>
              </c:extLst>
            </c:dLbl>
            <c:dLbl>
              <c:idx val="1"/>
              <c:layout>
                <c:manualLayout>
                  <c:x val="0.16597797070238013"/>
                  <c:y val="7.253853335447159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800" b="0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5056781475048002"/>
                      <c:h val="0.2993871276037081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D1C7-4333-85A6-28A4B873D9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 b="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GVT'!$L$40:$L$41</c:f>
              <c:strCache>
                <c:ptCount val="2"/>
                <c:pt idx="0">
                  <c:v>ფიქსირებული</c:v>
                </c:pt>
                <c:pt idx="1">
                  <c:v>ცვლადი</c:v>
                </c:pt>
              </c:strCache>
            </c:strRef>
          </c:cat>
          <c:val>
            <c:numRef>
              <c:f>'SEP-20 GVT'!$M$40:$M$41</c:f>
              <c:numCache>
                <c:formatCode>_(* #,##0_);_(* \(#,##0\);_(* "-"??_);_(@_)</c:formatCode>
                <c:ptCount val="2"/>
                <c:pt idx="0">
                  <c:v>3479814.3127420009</c:v>
                </c:pt>
                <c:pt idx="1">
                  <c:v>3257941.7071850006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1C7-4333-85A6-28A4B873D90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0.00028</cdr:y>
    </cdr:from>
    <cdr:to>
      <cdr:x>1</cdr:x>
      <cdr:y>0.22876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371"/>
          <a:ext cx="2048742" cy="3026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ka-GE" sz="900" b="0">
              <a:effectLst/>
              <a:latin typeface="+mn-lt"/>
              <a:ea typeface="+mn-ea"/>
              <a:cs typeface="+mn-cs"/>
            </a:rPr>
            <a:t>სავალუტო   სტრუქტურა</a:t>
          </a:r>
          <a:endParaRPr lang="en-US" sz="900" b="0">
            <a:effectLst/>
          </a:endParaRPr>
        </a:p>
        <a:p xmlns:a="http://schemas.openxmlformats.org/drawingml/2006/main">
          <a:pPr algn="ctr"/>
          <a:endParaRPr lang="en-US" sz="900" b="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FC144-CA34-40A6-8922-76AEA162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2661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Shanshiashvili</dc:creator>
  <cp:keywords/>
  <dc:description/>
  <cp:lastModifiedBy>Inga Gurgenidze</cp:lastModifiedBy>
  <cp:revision>9</cp:revision>
  <cp:lastPrinted>2020-11-30T06:26:00Z</cp:lastPrinted>
  <dcterms:created xsi:type="dcterms:W3CDTF">2020-11-29T18:11:00Z</dcterms:created>
  <dcterms:modified xsi:type="dcterms:W3CDTF">2020-11-30T06:27:00Z</dcterms:modified>
</cp:coreProperties>
</file>